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49C8A" w14:textId="6D543113" w:rsidR="00733EB8" w:rsidRDefault="00733EB8" w:rsidP="00563419">
      <w:pPr>
        <w:spacing w:line="480" w:lineRule="auto"/>
        <w:jc w:val="center"/>
        <w:rPr>
          <w:b/>
          <w:bCs/>
        </w:rPr>
      </w:pPr>
      <w:r>
        <w:rPr>
          <w:b/>
          <w:bCs/>
          <w:noProof/>
        </w:rPr>
        <mc:AlternateContent>
          <mc:Choice Requires="wps">
            <w:drawing>
              <wp:anchor distT="0" distB="0" distL="114300" distR="114300" simplePos="0" relativeHeight="251659264" behindDoc="0" locked="0" layoutInCell="1" allowOverlap="1" wp14:anchorId="51EB94CC" wp14:editId="007B9549">
                <wp:simplePos x="0" y="0"/>
                <wp:positionH relativeFrom="column">
                  <wp:posOffset>204826</wp:posOffset>
                </wp:positionH>
                <wp:positionV relativeFrom="paragraph">
                  <wp:posOffset>-146305</wp:posOffset>
                </wp:positionV>
                <wp:extent cx="5998464" cy="833933"/>
                <wp:effectExtent l="0" t="0" r="8890" b="17145"/>
                <wp:wrapNone/>
                <wp:docPr id="22" name="Text Box 22"/>
                <wp:cNvGraphicFramePr/>
                <a:graphic xmlns:a="http://schemas.openxmlformats.org/drawingml/2006/main">
                  <a:graphicData uri="http://schemas.microsoft.com/office/word/2010/wordprocessingShape">
                    <wps:wsp>
                      <wps:cNvSpPr txBox="1"/>
                      <wps:spPr>
                        <a:xfrm>
                          <a:off x="0" y="0"/>
                          <a:ext cx="5998464" cy="833933"/>
                        </a:xfrm>
                        <a:prstGeom prst="rect">
                          <a:avLst/>
                        </a:prstGeom>
                        <a:solidFill>
                          <a:schemeClr val="lt1"/>
                        </a:solidFill>
                        <a:ln w="6350">
                          <a:solidFill>
                            <a:prstClr val="black"/>
                          </a:solidFill>
                        </a:ln>
                      </wps:spPr>
                      <wps:txbx>
                        <w:txbxContent>
                          <w:p w14:paraId="15175A55" w14:textId="32C108CD" w:rsidR="00733EB8" w:rsidRDefault="00733EB8">
                            <w:pPr>
                              <w:rPr>
                                <w:rFonts w:ascii="Arial" w:hAnsi="Arial" w:cs="Arial"/>
                                <w:sz w:val="20"/>
                                <w:szCs w:val="20"/>
                              </w:rPr>
                            </w:pPr>
                            <w:r w:rsidRPr="00733EB8">
                              <w:rPr>
                                <w:rFonts w:ascii="Arial" w:hAnsi="Arial" w:cs="Arial"/>
                                <w:sz w:val="20"/>
                                <w:szCs w:val="20"/>
                              </w:rPr>
                              <w:t xml:space="preserve">This paper to appear in </w:t>
                            </w:r>
                            <w:r w:rsidRPr="00733EB8">
                              <w:rPr>
                                <w:rFonts w:ascii="Arial" w:hAnsi="Arial" w:cs="Arial"/>
                                <w:i/>
                                <w:iCs/>
                                <w:sz w:val="20"/>
                                <w:szCs w:val="20"/>
                              </w:rPr>
                              <w:t>Autism.</w:t>
                            </w:r>
                            <w:r w:rsidRPr="00733EB8">
                              <w:rPr>
                                <w:rFonts w:ascii="Arial" w:hAnsi="Arial" w:cs="Arial"/>
                                <w:sz w:val="20"/>
                                <w:szCs w:val="20"/>
                              </w:rPr>
                              <w:t xml:space="preserve"> Citation:</w:t>
                            </w:r>
                          </w:p>
                          <w:p w14:paraId="327B6FBF" w14:textId="77777777" w:rsidR="00733EB8" w:rsidRPr="00733EB8" w:rsidRDefault="00733EB8">
                            <w:pPr>
                              <w:rPr>
                                <w:rFonts w:ascii="Arial" w:hAnsi="Arial" w:cs="Arial"/>
                                <w:sz w:val="20"/>
                                <w:szCs w:val="20"/>
                              </w:rPr>
                            </w:pPr>
                          </w:p>
                          <w:p w14:paraId="451052E2" w14:textId="64DF70DA" w:rsidR="00733EB8" w:rsidRPr="00733EB8" w:rsidRDefault="00733EB8">
                            <w:pPr>
                              <w:rPr>
                                <w:rFonts w:ascii="Arial" w:hAnsi="Arial" w:cs="Arial"/>
                                <w:sz w:val="20"/>
                                <w:szCs w:val="20"/>
                              </w:rPr>
                            </w:pPr>
                            <w:r w:rsidRPr="00733EB8">
                              <w:rPr>
                                <w:rFonts w:ascii="Arial" w:hAnsi="Arial" w:cs="Arial"/>
                                <w:sz w:val="20"/>
                                <w:szCs w:val="20"/>
                              </w:rPr>
                              <w:t xml:space="preserve">Girolamo, T., Shen, L., Gulick, A. M., </w:t>
                            </w:r>
                            <w:proofErr w:type="spellStart"/>
                            <w:r w:rsidRPr="00733EB8">
                              <w:rPr>
                                <w:rFonts w:ascii="Arial" w:hAnsi="Arial" w:cs="Arial"/>
                                <w:sz w:val="20"/>
                                <w:szCs w:val="20"/>
                              </w:rPr>
                              <w:t>Rice,</w:t>
                            </w:r>
                            <w:proofErr w:type="spellEnd"/>
                            <w:r w:rsidRPr="00733EB8">
                              <w:rPr>
                                <w:rFonts w:ascii="Arial" w:hAnsi="Arial" w:cs="Arial"/>
                                <w:sz w:val="20"/>
                                <w:szCs w:val="20"/>
                              </w:rPr>
                              <w:t xml:space="preserve"> M. L., &amp; Eigsti, I.M. </w:t>
                            </w:r>
                            <w:r>
                              <w:rPr>
                                <w:rFonts w:ascii="Arial" w:hAnsi="Arial" w:cs="Arial"/>
                                <w:sz w:val="20"/>
                                <w:szCs w:val="20"/>
                              </w:rPr>
                              <w:t xml:space="preserve">(in press). </w:t>
                            </w:r>
                            <w:r w:rsidRPr="00733EB8">
                              <w:rPr>
                                <w:rFonts w:ascii="Arial" w:hAnsi="Arial" w:cs="Arial"/>
                                <w:sz w:val="20"/>
                                <w:szCs w:val="20"/>
                              </w:rPr>
                              <w:t>Studies pertaining to language impa</w:t>
                            </w:r>
                            <w:r>
                              <w:rPr>
                                <w:rFonts w:ascii="Arial" w:hAnsi="Arial" w:cs="Arial"/>
                                <w:sz w:val="20"/>
                                <w:szCs w:val="20"/>
                              </w:rPr>
                              <w:t xml:space="preserve">irment in autism underreport participant sociodemographics: A systematic review. </w:t>
                            </w:r>
                            <w:r>
                              <w:rPr>
                                <w:rFonts w:ascii="Arial" w:hAnsi="Arial" w:cs="Arial"/>
                                <w:i/>
                                <w:iCs/>
                                <w:sz w:val="20"/>
                                <w:szCs w:val="20"/>
                              </w:rPr>
                              <w:t>Autism</w:t>
                            </w:r>
                            <w:r>
                              <w:rPr>
                                <w:rFonts w:ascii="Arial" w:hAnsi="Arial" w:cs="Arial"/>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1EB94CC" id="_x0000_t202" coordsize="21600,21600" o:spt="202" path="m,l,21600r21600,l21600,xe">
                <v:stroke joinstyle="miter"/>
                <v:path gradientshapeok="t" o:connecttype="rect"/>
              </v:shapetype>
              <v:shape id="Text Box 22" o:spid="_x0000_s1026" type="#_x0000_t202" style="position:absolute;left:0;text-align:left;margin-left:16.15pt;margin-top:-11.5pt;width:472.3pt;height:65.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" fillcolor="white [3201]" strokeweight=".5pt">
                <v:textbox>
                  <w:txbxContent>
                    <w:p w14:paraId="15175A55" w14:textId="32C108CD" w:rsidR="00733EB8" w:rsidRDefault="00733EB8">
                      <w:pPr>
                        <w:rPr>
                          <w:rFonts w:ascii="Arial" w:hAnsi="Arial" w:cs="Arial"/>
                          <w:sz w:val="20"/>
                          <w:szCs w:val="20"/>
                        </w:rPr>
                      </w:pPr>
                      <w:r w:rsidRPr="00733EB8">
                        <w:rPr>
                          <w:rFonts w:ascii="Arial" w:hAnsi="Arial" w:cs="Arial"/>
                          <w:sz w:val="20"/>
                          <w:szCs w:val="20"/>
                        </w:rPr>
                        <w:t xml:space="preserve">This paper to appear in </w:t>
                      </w:r>
                      <w:r w:rsidRPr="00733EB8">
                        <w:rPr>
                          <w:rFonts w:ascii="Arial" w:hAnsi="Arial" w:cs="Arial"/>
                          <w:i/>
                          <w:iCs/>
                          <w:sz w:val="20"/>
                          <w:szCs w:val="20"/>
                        </w:rPr>
                        <w:t>Autism.</w:t>
                      </w:r>
                      <w:r w:rsidRPr="00733EB8">
                        <w:rPr>
                          <w:rFonts w:ascii="Arial" w:hAnsi="Arial" w:cs="Arial"/>
                          <w:sz w:val="20"/>
                          <w:szCs w:val="20"/>
                        </w:rPr>
                        <w:t xml:space="preserve"> Citation:</w:t>
                      </w:r>
                    </w:p>
                    <w:p w14:paraId="327B6FBF" w14:textId="77777777" w:rsidR="00733EB8" w:rsidRPr="00733EB8" w:rsidRDefault="00733EB8">
                      <w:pPr>
                        <w:rPr>
                          <w:rFonts w:ascii="Arial" w:hAnsi="Arial" w:cs="Arial"/>
                          <w:sz w:val="20"/>
                          <w:szCs w:val="20"/>
                        </w:rPr>
                      </w:pPr>
                    </w:p>
                    <w:p w14:paraId="451052E2" w14:textId="64DF70DA" w:rsidR="00733EB8" w:rsidRPr="00733EB8" w:rsidRDefault="00733EB8">
                      <w:pPr>
                        <w:rPr>
                          <w:rFonts w:ascii="Arial" w:hAnsi="Arial" w:cs="Arial"/>
                          <w:sz w:val="20"/>
                          <w:szCs w:val="20"/>
                        </w:rPr>
                      </w:pPr>
                      <w:r w:rsidRPr="00733EB8">
                        <w:rPr>
                          <w:rFonts w:ascii="Arial" w:hAnsi="Arial" w:cs="Arial"/>
                          <w:sz w:val="20"/>
                          <w:szCs w:val="20"/>
                        </w:rPr>
                        <w:t xml:space="preserve">Girolamo, T., Shen, L., Gulick, A. M., </w:t>
                      </w:r>
                      <w:proofErr w:type="spellStart"/>
                      <w:r w:rsidRPr="00733EB8">
                        <w:rPr>
                          <w:rFonts w:ascii="Arial" w:hAnsi="Arial" w:cs="Arial"/>
                          <w:sz w:val="20"/>
                          <w:szCs w:val="20"/>
                        </w:rPr>
                        <w:t>Rice,</w:t>
                      </w:r>
                      <w:proofErr w:type="spellEnd"/>
                      <w:r w:rsidRPr="00733EB8">
                        <w:rPr>
                          <w:rFonts w:ascii="Arial" w:hAnsi="Arial" w:cs="Arial"/>
                          <w:sz w:val="20"/>
                          <w:szCs w:val="20"/>
                        </w:rPr>
                        <w:t xml:space="preserve"> M. L., &amp; Eigsti, I.M. </w:t>
                      </w:r>
                      <w:r>
                        <w:rPr>
                          <w:rFonts w:ascii="Arial" w:hAnsi="Arial" w:cs="Arial"/>
                          <w:sz w:val="20"/>
                          <w:szCs w:val="20"/>
                        </w:rPr>
                        <w:t xml:space="preserve">(in press). </w:t>
                      </w:r>
                      <w:r w:rsidRPr="00733EB8">
                        <w:rPr>
                          <w:rFonts w:ascii="Arial" w:hAnsi="Arial" w:cs="Arial"/>
                          <w:sz w:val="20"/>
                          <w:szCs w:val="20"/>
                        </w:rPr>
                        <w:t>Studies pertaining to language impa</w:t>
                      </w:r>
                      <w:r>
                        <w:rPr>
                          <w:rFonts w:ascii="Arial" w:hAnsi="Arial" w:cs="Arial"/>
                          <w:sz w:val="20"/>
                          <w:szCs w:val="20"/>
                        </w:rPr>
                        <w:t xml:space="preserve">irment in autism underreport participant sociodemographics: A systematic review. </w:t>
                      </w:r>
                      <w:r>
                        <w:rPr>
                          <w:rFonts w:ascii="Arial" w:hAnsi="Arial" w:cs="Arial"/>
                          <w:i/>
                          <w:iCs/>
                          <w:sz w:val="20"/>
                          <w:szCs w:val="20"/>
                        </w:rPr>
                        <w:t>Autism</w:t>
                      </w:r>
                      <w:r>
                        <w:rPr>
                          <w:rFonts w:ascii="Arial" w:hAnsi="Arial" w:cs="Arial"/>
                          <w:sz w:val="20"/>
                          <w:szCs w:val="20"/>
                        </w:rPr>
                        <w:t>.</w:t>
                      </w:r>
                    </w:p>
                  </w:txbxContent>
                </v:textbox>
              </v:shape>
            </w:pict>
          </mc:Fallback>
        </mc:AlternateContent>
      </w:r>
    </w:p>
    <w:p w14:paraId="589CA396" w14:textId="77777777" w:rsidR="00733EB8" w:rsidRDefault="00733EB8" w:rsidP="00563419">
      <w:pPr>
        <w:spacing w:line="480" w:lineRule="auto"/>
        <w:jc w:val="center"/>
        <w:rPr>
          <w:b/>
          <w:bCs/>
        </w:rPr>
      </w:pPr>
    </w:p>
    <w:p w14:paraId="018DA2C3" w14:textId="4662D545" w:rsidR="00563419" w:rsidRDefault="00563419" w:rsidP="00563419">
      <w:pPr>
        <w:spacing w:line="480" w:lineRule="auto"/>
        <w:jc w:val="center"/>
        <w:rPr>
          <w:b/>
          <w:bCs/>
        </w:rPr>
      </w:pPr>
      <w:r>
        <w:rPr>
          <w:b/>
          <w:bCs/>
        </w:rPr>
        <w:t>Lay Abstract</w:t>
      </w:r>
    </w:p>
    <w:p w14:paraId="31A9B8AE" w14:textId="77777777" w:rsidR="00563419" w:rsidRDefault="00563419" w:rsidP="00563419">
      <w:pPr>
        <w:spacing w:line="480" w:lineRule="auto"/>
      </w:pPr>
      <w:r>
        <w:tab/>
        <w:t>Though exclusion of racially and ethnically minoritized autistic individuals from research is a longstanding issue, we have yet to determine how exclusion impacts areas of autism research important for identifying language impairment. Diagnosis depends on the quality of the evidence (i.e., research) and is often the pathway to gaining access to services. As a first step, we examined how research studies related to language impairment in school-age autistic individuals report participant sociodemographics. We analyzed reports using age-referenced assessments in English (</w:t>
      </w:r>
      <w:r>
        <w:rPr>
          <w:i/>
          <w:iCs/>
        </w:rPr>
        <w:t xml:space="preserve">n </w:t>
      </w:r>
      <w:r>
        <w:t xml:space="preserve">= 60), which are commonly used by both practitioners and researchers to diagnose or identify language impairment. Findings showed only 28% of studies reported </w:t>
      </w:r>
      <w:r w:rsidRPr="00BD569F">
        <w:rPr>
          <w:i/>
          <w:iCs/>
        </w:rPr>
        <w:t>any</w:t>
      </w:r>
      <w:r>
        <w:t xml:space="preserve"> information on race and ethnicity; in these studies, most (at least 77%) of participants were white. In addition, only 52% of studies reported gender or sex </w:t>
      </w:r>
      <w:r>
        <w:rPr>
          <w:i/>
          <w:iCs/>
        </w:rPr>
        <w:t xml:space="preserve">and </w:t>
      </w:r>
      <w:r>
        <w:t>specified what they were reporting (gender, sex, or gender identity). Just 17% reported socioeconomic status using multiple indicators. Altogether, findings indicate broad issues with underreporting and exclusion of racially and ethnically minoritized individuals, which might overlay with other aspects of identity including SES. It is impossible to determine the extent and precise nature of exclusion without intersectional reporting. To ensure that language in autism research is representative of the autistic population, future research must implement reporting guidelines and broaden inclusion of who participates in research studies.</w:t>
      </w:r>
    </w:p>
    <w:p w14:paraId="074873C3" w14:textId="5093D3FD" w:rsidR="00563419" w:rsidRDefault="00563419" w:rsidP="00C3064B">
      <w:pPr>
        <w:spacing w:line="480" w:lineRule="auto"/>
        <w:jc w:val="center"/>
        <w:rPr>
          <w:b/>
          <w:bCs/>
          <w:color w:val="000000" w:themeColor="text1"/>
        </w:rPr>
      </w:pPr>
    </w:p>
    <w:p w14:paraId="523861E8" w14:textId="5810E8AE" w:rsidR="00563419" w:rsidRDefault="00563419" w:rsidP="00C3064B">
      <w:pPr>
        <w:spacing w:line="480" w:lineRule="auto"/>
        <w:jc w:val="center"/>
        <w:rPr>
          <w:b/>
          <w:bCs/>
          <w:color w:val="000000" w:themeColor="text1"/>
        </w:rPr>
      </w:pPr>
    </w:p>
    <w:p w14:paraId="4443C2A4" w14:textId="77777777" w:rsidR="00563419" w:rsidRDefault="00563419" w:rsidP="00C3064B">
      <w:pPr>
        <w:spacing w:line="480" w:lineRule="auto"/>
        <w:jc w:val="center"/>
        <w:rPr>
          <w:b/>
          <w:bCs/>
          <w:color w:val="000000" w:themeColor="text1"/>
        </w:rPr>
      </w:pPr>
    </w:p>
    <w:p w14:paraId="4680D7CD" w14:textId="1F1BC45A" w:rsidR="00C82253" w:rsidRPr="001433A9" w:rsidRDefault="00C82253" w:rsidP="00C3064B">
      <w:pPr>
        <w:spacing w:line="480" w:lineRule="auto"/>
        <w:jc w:val="center"/>
        <w:rPr>
          <w:b/>
          <w:bCs/>
          <w:color w:val="000000" w:themeColor="text1"/>
        </w:rPr>
      </w:pPr>
      <w:r w:rsidRPr="001433A9">
        <w:rPr>
          <w:b/>
          <w:bCs/>
          <w:color w:val="000000" w:themeColor="text1"/>
        </w:rPr>
        <w:lastRenderedPageBreak/>
        <w:t>Abstract</w:t>
      </w:r>
    </w:p>
    <w:p w14:paraId="160C5CA5" w14:textId="77777777" w:rsidR="00F86CAA" w:rsidRPr="00F86CAA" w:rsidRDefault="00F86CAA" w:rsidP="00F86CAA">
      <w:pPr>
        <w:spacing w:line="480" w:lineRule="auto"/>
        <w:rPr>
          <w:color w:val="000000" w:themeColor="text1"/>
        </w:rPr>
      </w:pPr>
      <w:r w:rsidRPr="00F86CAA">
        <w:rPr>
          <w:color w:val="000000" w:themeColor="text1"/>
        </w:rPr>
        <w:t>Autism research tends to exclude racially and ethnically minoritized (REM) autistic individuals, limiting the quality of the evidence base for characterizing and diagnosing language impairment in REM autistic individuals. This systematic review examines reporting practices for participant sociodemographics in studies pertaining to language impairment in autistic school-age individuals using age-referenced assessments. This review was preregistered (PROSPERO: CRD42021260394) and followed the Preferred Reporting Items for Systematic Reviews and Meta-Analyses protocol. Database searches took place in August of 2021 in Linguistics and Language Behavior Abstracts, PsycINFO, PubMed, and the Directory of Open Access Journals, for publications during 1980 to 2021. Search terms included three essential concepts: autism, language, and age. Two coders independently screened and evaluated articles. Of qualifying studies (</w:t>
      </w:r>
      <w:r w:rsidRPr="00F86CAA">
        <w:rPr>
          <w:i/>
          <w:iCs/>
          <w:color w:val="000000" w:themeColor="text1"/>
        </w:rPr>
        <w:t xml:space="preserve">n </w:t>
      </w:r>
      <w:r w:rsidRPr="00F86CAA">
        <w:rPr>
          <w:color w:val="000000" w:themeColor="text1"/>
        </w:rPr>
        <w:t xml:space="preserve">= 60), 17 (28%) reported </w:t>
      </w:r>
      <w:r w:rsidRPr="00F86CAA">
        <w:rPr>
          <w:i/>
          <w:iCs/>
          <w:color w:val="000000" w:themeColor="text1"/>
        </w:rPr>
        <w:t>any</w:t>
      </w:r>
      <w:r w:rsidRPr="00F86CAA">
        <w:rPr>
          <w:color w:val="000000" w:themeColor="text1"/>
        </w:rPr>
        <w:t xml:space="preserve"> information on participant race and ethnicity; in these studies, participants were at least 77% white. Thirty-one studies (52%) reported gender or sex; just 10 studies (17%) reported socioeconomic status using multiple indicators. These findings indicate insufficient adherence to reporting guidelines and systematic exclusion of REM. Future work must address replicable reporting and inclusion in autism research. </w:t>
      </w:r>
    </w:p>
    <w:p w14:paraId="58104E4B" w14:textId="2314717A" w:rsidR="009F4B22" w:rsidRPr="001433A9" w:rsidRDefault="009F4B22" w:rsidP="00F55FB5">
      <w:pPr>
        <w:spacing w:line="480" w:lineRule="auto"/>
        <w:rPr>
          <w:color w:val="000000" w:themeColor="text1"/>
        </w:rPr>
      </w:pPr>
      <w:r w:rsidRPr="001433A9">
        <w:rPr>
          <w:b/>
          <w:bCs/>
          <w:color w:val="000000" w:themeColor="text1"/>
        </w:rPr>
        <w:t xml:space="preserve">Keywords: </w:t>
      </w:r>
      <w:r w:rsidRPr="001433A9">
        <w:rPr>
          <w:color w:val="000000" w:themeColor="text1"/>
        </w:rPr>
        <w:t>autism spectrum disorder, language, language impairment</w:t>
      </w:r>
      <w:r w:rsidR="00776007" w:rsidRPr="001433A9">
        <w:rPr>
          <w:color w:val="000000" w:themeColor="text1"/>
        </w:rPr>
        <w:t>, demographics</w:t>
      </w:r>
    </w:p>
    <w:p w14:paraId="7098CC65" w14:textId="42C9F64D" w:rsidR="007D1F7D" w:rsidRPr="001433A9" w:rsidRDefault="007D1F7D">
      <w:pPr>
        <w:rPr>
          <w:color w:val="000000" w:themeColor="text1"/>
        </w:rPr>
      </w:pPr>
      <w:r w:rsidRPr="001433A9">
        <w:rPr>
          <w:color w:val="000000" w:themeColor="text1"/>
        </w:rPr>
        <w:br w:type="page"/>
      </w:r>
    </w:p>
    <w:p w14:paraId="5E701CEC" w14:textId="2CD48902" w:rsidR="00C82253" w:rsidRPr="001433A9" w:rsidRDefault="00C82253" w:rsidP="00851E32">
      <w:pPr>
        <w:widowControl w:val="0"/>
        <w:spacing w:line="480" w:lineRule="auto"/>
        <w:jc w:val="center"/>
        <w:rPr>
          <w:b/>
          <w:bCs/>
          <w:color w:val="000000" w:themeColor="text1"/>
        </w:rPr>
      </w:pPr>
      <w:r w:rsidRPr="001433A9">
        <w:rPr>
          <w:b/>
          <w:bCs/>
          <w:color w:val="000000" w:themeColor="text1"/>
        </w:rPr>
        <w:lastRenderedPageBreak/>
        <w:t xml:space="preserve">Studies pertaining to language impairment in school-age autistic individuals underreport participant sociodemographics: A systematic </w:t>
      </w:r>
      <w:proofErr w:type="gramStart"/>
      <w:r w:rsidRPr="001433A9">
        <w:rPr>
          <w:b/>
          <w:bCs/>
          <w:color w:val="000000" w:themeColor="text1"/>
        </w:rPr>
        <w:t>review</w:t>
      </w:r>
      <w:proofErr w:type="gramEnd"/>
    </w:p>
    <w:p w14:paraId="0E126E4B" w14:textId="5D4C05EA" w:rsidR="00C82253" w:rsidRPr="001433A9" w:rsidRDefault="00C82253" w:rsidP="00433C6E">
      <w:pPr>
        <w:widowControl w:val="0"/>
        <w:spacing w:line="480" w:lineRule="auto"/>
        <w:ind w:firstLine="720"/>
        <w:rPr>
          <w:color w:val="000000" w:themeColor="text1"/>
        </w:rPr>
      </w:pPr>
      <w:r w:rsidRPr="001433A9">
        <w:rPr>
          <w:color w:val="000000" w:themeColor="text1"/>
        </w:rPr>
        <w:t xml:space="preserve">Though language in autistic individuals is widely heterogeneous </w:t>
      </w:r>
      <w:r w:rsidRPr="001433A9">
        <w:rPr>
          <w:noProof/>
          <w:color w:val="000000" w:themeColor="text1"/>
        </w:rPr>
        <w:t>(Magiati et al., 2014)</w:t>
      </w:r>
      <w:r w:rsidRPr="001433A9">
        <w:rPr>
          <w:color w:val="000000" w:themeColor="text1"/>
        </w:rPr>
        <w:t xml:space="preserve">, knowledge gaps about the language abilities of autistic individuals with language impairment (LI) limit the ability to develop and provide supports </w:t>
      </w:r>
      <w:r w:rsidRPr="001433A9">
        <w:rPr>
          <w:noProof/>
          <w:color w:val="000000" w:themeColor="text1"/>
        </w:rPr>
        <w:t xml:space="preserve">(Interagency Autism Coordinating Committee </w:t>
      </w:r>
      <w:r w:rsidR="008441FB" w:rsidRPr="001433A9">
        <w:rPr>
          <w:noProof/>
          <w:color w:val="000000" w:themeColor="text1"/>
        </w:rPr>
        <w:t>[</w:t>
      </w:r>
      <w:r w:rsidRPr="001433A9">
        <w:rPr>
          <w:noProof/>
          <w:color w:val="000000" w:themeColor="text1"/>
        </w:rPr>
        <w:t>IACC</w:t>
      </w:r>
      <w:r w:rsidR="008441FB" w:rsidRPr="001433A9">
        <w:rPr>
          <w:noProof/>
          <w:color w:val="000000" w:themeColor="text1"/>
        </w:rPr>
        <w:t>)</w:t>
      </w:r>
      <w:r w:rsidRPr="001433A9">
        <w:rPr>
          <w:noProof/>
          <w:color w:val="000000" w:themeColor="text1"/>
        </w:rPr>
        <w:t>, 2020; Tager‐Flusberg &amp; Kasari, 2013)</w:t>
      </w:r>
      <w:r w:rsidRPr="001433A9">
        <w:rPr>
          <w:color w:val="000000" w:themeColor="text1"/>
        </w:rPr>
        <w:t>. Having a</w:t>
      </w:r>
      <w:r w:rsidR="002D237A" w:rsidRPr="001433A9">
        <w:rPr>
          <w:color w:val="000000" w:themeColor="text1"/>
        </w:rPr>
        <w:t xml:space="preserve">n </w:t>
      </w:r>
      <w:r w:rsidRPr="001433A9">
        <w:rPr>
          <w:color w:val="000000" w:themeColor="text1"/>
        </w:rPr>
        <w:t>evidence base</w:t>
      </w:r>
      <w:r w:rsidR="006D143B" w:rsidRPr="001433A9">
        <w:rPr>
          <w:color w:val="000000" w:themeColor="text1"/>
        </w:rPr>
        <w:t xml:space="preserve"> </w:t>
      </w:r>
      <w:r w:rsidRPr="001433A9">
        <w:rPr>
          <w:color w:val="000000" w:themeColor="text1"/>
        </w:rPr>
        <w:t xml:space="preserve">that represents </w:t>
      </w:r>
      <w:r w:rsidRPr="001433A9">
        <w:rPr>
          <w:i/>
          <w:iCs/>
          <w:color w:val="000000" w:themeColor="text1"/>
        </w:rPr>
        <w:t xml:space="preserve">all </w:t>
      </w:r>
      <w:r w:rsidRPr="001433A9">
        <w:rPr>
          <w:color w:val="000000" w:themeColor="text1"/>
        </w:rPr>
        <w:t xml:space="preserve">autistic individuals aligns to funding priorities </w:t>
      </w:r>
      <w:r w:rsidRPr="001433A9">
        <w:rPr>
          <w:noProof/>
          <w:color w:val="000000" w:themeColor="text1"/>
        </w:rPr>
        <w:t>(National Institutes of Health, 2021)</w:t>
      </w:r>
      <w:r w:rsidRPr="001433A9">
        <w:rPr>
          <w:color w:val="000000" w:themeColor="text1"/>
        </w:rPr>
        <w:t xml:space="preserve"> and to similar prevalence rates </w:t>
      </w:r>
      <w:r w:rsidR="006D143B" w:rsidRPr="001433A9">
        <w:rPr>
          <w:color w:val="000000" w:themeColor="text1"/>
        </w:rPr>
        <w:t>across</w:t>
      </w:r>
      <w:r w:rsidRPr="001433A9">
        <w:rPr>
          <w:color w:val="000000" w:themeColor="text1"/>
        </w:rPr>
        <w:t xml:space="preserve"> racial and ethnic groups </w:t>
      </w:r>
      <w:r w:rsidRPr="001433A9">
        <w:rPr>
          <w:noProof/>
          <w:color w:val="000000" w:themeColor="text1"/>
        </w:rPr>
        <w:t>(Maenner et al., 2020)</w:t>
      </w:r>
      <w:r w:rsidRPr="001433A9">
        <w:rPr>
          <w:color w:val="000000" w:themeColor="text1"/>
        </w:rPr>
        <w:t xml:space="preserve">. To date, research documents the exclusion of </w:t>
      </w:r>
      <w:r w:rsidR="00286514" w:rsidRPr="001433A9">
        <w:rPr>
          <w:color w:val="000000" w:themeColor="text1"/>
        </w:rPr>
        <w:t xml:space="preserve">autistic </w:t>
      </w:r>
      <w:r w:rsidRPr="001433A9">
        <w:rPr>
          <w:color w:val="000000" w:themeColor="text1"/>
        </w:rPr>
        <w:t xml:space="preserve">racially and ethnically minoritized </w:t>
      </w:r>
      <w:r w:rsidR="00705B3E" w:rsidRPr="001433A9">
        <w:rPr>
          <w:color w:val="000000" w:themeColor="text1"/>
        </w:rPr>
        <w:t>(REM)</w:t>
      </w:r>
      <w:r w:rsidR="00705B3E" w:rsidRPr="001433A9">
        <w:rPr>
          <w:b/>
          <w:bCs/>
          <w:color w:val="000000" w:themeColor="text1"/>
        </w:rPr>
        <w:t xml:space="preserve"> </w:t>
      </w:r>
      <w:r w:rsidRPr="001433A9">
        <w:rPr>
          <w:color w:val="000000" w:themeColor="text1"/>
        </w:rPr>
        <w:t xml:space="preserve">individuals from </w:t>
      </w:r>
      <w:r w:rsidR="003257B5" w:rsidRPr="001433A9">
        <w:rPr>
          <w:color w:val="000000" w:themeColor="text1"/>
        </w:rPr>
        <w:t>clinically</w:t>
      </w:r>
      <w:r w:rsidR="00993730" w:rsidRPr="001433A9">
        <w:rPr>
          <w:color w:val="000000" w:themeColor="text1"/>
        </w:rPr>
        <w:t xml:space="preserve"> </w:t>
      </w:r>
      <w:r w:rsidR="003257B5" w:rsidRPr="001433A9">
        <w:rPr>
          <w:color w:val="000000" w:themeColor="text1"/>
        </w:rPr>
        <w:t xml:space="preserve">critical </w:t>
      </w:r>
      <w:r w:rsidRPr="001433A9">
        <w:rPr>
          <w:color w:val="000000" w:themeColor="text1"/>
        </w:rPr>
        <w:t xml:space="preserve">domains </w:t>
      </w:r>
      <w:r w:rsidR="003257B5" w:rsidRPr="001433A9">
        <w:rPr>
          <w:color w:val="000000" w:themeColor="text1"/>
        </w:rPr>
        <w:t xml:space="preserve">of </w:t>
      </w:r>
      <w:r w:rsidR="005A5792" w:rsidRPr="001433A9">
        <w:rPr>
          <w:color w:val="000000" w:themeColor="text1"/>
        </w:rPr>
        <w:t>supports</w:t>
      </w:r>
      <w:r w:rsidRPr="001433A9">
        <w:rPr>
          <w:color w:val="000000" w:themeColor="text1"/>
        </w:rPr>
        <w:t xml:space="preserve">, evidence-based practice, neuroimaging, and parental perceptions </w:t>
      </w:r>
      <w:r w:rsidRPr="001433A9">
        <w:rPr>
          <w:noProof/>
          <w:color w:val="000000" w:themeColor="text1"/>
        </w:rPr>
        <w:t>(Cosgrove et al., 2022; Rivera-Figueroa et al., 2022; Steinbrenner et al., 2022; West et al., 2016)</w:t>
      </w:r>
      <w:r w:rsidR="00433C6E" w:rsidRPr="001433A9">
        <w:rPr>
          <w:color w:val="000000" w:themeColor="text1"/>
        </w:rPr>
        <w:t>.</w:t>
      </w:r>
      <w:r w:rsidRPr="001433A9">
        <w:rPr>
          <w:color w:val="000000" w:themeColor="text1"/>
        </w:rPr>
        <w:t xml:space="preserve"> </w:t>
      </w:r>
      <w:r w:rsidRPr="001433A9">
        <w:rPr>
          <w:i/>
          <w:iCs/>
          <w:color w:val="000000" w:themeColor="text1"/>
        </w:rPr>
        <w:t>U</w:t>
      </w:r>
      <w:r w:rsidRPr="001433A9">
        <w:rPr>
          <w:i/>
          <w:color w:val="000000" w:themeColor="text1"/>
        </w:rPr>
        <w:t>nderrepresentation</w:t>
      </w:r>
      <w:r w:rsidRPr="001433A9">
        <w:rPr>
          <w:color w:val="000000" w:themeColor="text1"/>
        </w:rPr>
        <w:t xml:space="preserve"> coupled with </w:t>
      </w:r>
      <w:r w:rsidRPr="001433A9">
        <w:rPr>
          <w:i/>
          <w:color w:val="000000" w:themeColor="text1"/>
        </w:rPr>
        <w:t xml:space="preserve">underreporting </w:t>
      </w:r>
      <w:r w:rsidRPr="001433A9">
        <w:rPr>
          <w:color w:val="000000" w:themeColor="text1"/>
        </w:rPr>
        <w:t>can exacerbate disparities, especially as race and ethnicity intersect with other dimensions of marginalization</w:t>
      </w:r>
      <w:r w:rsidR="000470BB" w:rsidRPr="001433A9">
        <w:rPr>
          <w:color w:val="000000" w:themeColor="text1"/>
        </w:rPr>
        <w:t xml:space="preserve">, </w:t>
      </w:r>
      <w:r w:rsidR="00C7701B" w:rsidRPr="001433A9">
        <w:rPr>
          <w:color w:val="000000" w:themeColor="text1"/>
        </w:rPr>
        <w:t xml:space="preserve">such as </w:t>
      </w:r>
      <w:r w:rsidR="000470BB" w:rsidRPr="001433A9">
        <w:rPr>
          <w:color w:val="000000" w:themeColor="text1"/>
        </w:rPr>
        <w:t>sociodemographic</w:t>
      </w:r>
      <w:r w:rsidR="00C7701B" w:rsidRPr="001433A9">
        <w:rPr>
          <w:color w:val="000000" w:themeColor="text1"/>
        </w:rPr>
        <w:t xml:space="preserve">s </w:t>
      </w:r>
      <w:r w:rsidR="000470BB" w:rsidRPr="001433A9">
        <w:rPr>
          <w:color w:val="000000" w:themeColor="text1"/>
        </w:rPr>
        <w:t xml:space="preserve">(e.g., socioeconomic status [SES]) </w:t>
      </w:r>
      <w:r w:rsidR="00C7701B" w:rsidRPr="001433A9">
        <w:rPr>
          <w:color w:val="000000" w:themeColor="text1"/>
        </w:rPr>
        <w:t xml:space="preserve">and </w:t>
      </w:r>
      <w:r w:rsidR="000470BB" w:rsidRPr="001433A9">
        <w:rPr>
          <w:color w:val="000000" w:themeColor="text1"/>
        </w:rPr>
        <w:t>individual differences (e.g., dis/ability like LI or intellectual dis/ability)</w:t>
      </w:r>
      <w:r w:rsidRPr="001433A9">
        <w:rPr>
          <w:color w:val="000000" w:themeColor="text1"/>
        </w:rPr>
        <w:t>.</w:t>
      </w:r>
      <w:r w:rsidR="00705B3E" w:rsidRPr="001433A9">
        <w:rPr>
          <w:color w:val="000000" w:themeColor="text1"/>
        </w:rPr>
        <w:t xml:space="preserve"> </w:t>
      </w:r>
      <w:r w:rsidR="000470BB" w:rsidRPr="001433A9">
        <w:rPr>
          <w:color w:val="000000" w:themeColor="text1"/>
        </w:rPr>
        <w:t xml:space="preserve">Per </w:t>
      </w:r>
      <w:r w:rsidR="00705B3E" w:rsidRPr="001433A9">
        <w:rPr>
          <w:color w:val="000000" w:themeColor="text1"/>
        </w:rPr>
        <w:t xml:space="preserve">intersectionality theory (Crenshaw, 1989), </w:t>
      </w:r>
      <w:r w:rsidR="00433C6E" w:rsidRPr="001433A9">
        <w:rPr>
          <w:color w:val="000000" w:themeColor="text1"/>
        </w:rPr>
        <w:t xml:space="preserve">REM </w:t>
      </w:r>
      <w:r w:rsidR="00110173" w:rsidRPr="001433A9">
        <w:rPr>
          <w:color w:val="000000" w:themeColor="text1"/>
        </w:rPr>
        <w:t xml:space="preserve">may </w:t>
      </w:r>
      <w:r w:rsidR="00433C6E" w:rsidRPr="001433A9">
        <w:rPr>
          <w:color w:val="000000" w:themeColor="text1"/>
        </w:rPr>
        <w:t xml:space="preserve">have </w:t>
      </w:r>
      <w:r w:rsidR="00110173" w:rsidRPr="001433A9">
        <w:rPr>
          <w:color w:val="000000" w:themeColor="text1"/>
        </w:rPr>
        <w:t xml:space="preserve">intersecting </w:t>
      </w:r>
      <w:r w:rsidR="00705B3E" w:rsidRPr="001433A9">
        <w:rPr>
          <w:color w:val="000000" w:themeColor="text1"/>
        </w:rPr>
        <w:t>identities</w:t>
      </w:r>
      <w:r w:rsidR="00296B4E" w:rsidRPr="001433A9">
        <w:rPr>
          <w:color w:val="000000" w:themeColor="text1"/>
        </w:rPr>
        <w:t xml:space="preserve"> </w:t>
      </w:r>
      <w:r w:rsidR="00433C6E" w:rsidRPr="001433A9">
        <w:rPr>
          <w:color w:val="000000" w:themeColor="text1"/>
        </w:rPr>
        <w:t>that giv</w:t>
      </w:r>
      <w:r w:rsidR="00110173" w:rsidRPr="001433A9">
        <w:rPr>
          <w:color w:val="000000" w:themeColor="text1"/>
        </w:rPr>
        <w:t>e</w:t>
      </w:r>
      <w:r w:rsidR="00433C6E" w:rsidRPr="001433A9">
        <w:rPr>
          <w:color w:val="000000" w:themeColor="text1"/>
        </w:rPr>
        <w:t xml:space="preserve"> rise to </w:t>
      </w:r>
      <w:r w:rsidR="00705B3E" w:rsidRPr="001433A9">
        <w:rPr>
          <w:color w:val="000000" w:themeColor="text1"/>
        </w:rPr>
        <w:t>nuanced marginalization. Dis/ability Studies and Critical Race Theory (DisCrit</w:t>
      </w:r>
      <w:r w:rsidR="00433C6E" w:rsidRPr="001433A9">
        <w:rPr>
          <w:color w:val="000000" w:themeColor="text1"/>
        </w:rPr>
        <w:t>; Annamma et al., 2013</w:t>
      </w:r>
      <w:r w:rsidR="00705B3E" w:rsidRPr="001433A9">
        <w:rPr>
          <w:color w:val="000000" w:themeColor="text1"/>
        </w:rPr>
        <w:t>)</w:t>
      </w:r>
      <w:r w:rsidR="00433C6E" w:rsidRPr="001433A9">
        <w:rPr>
          <w:color w:val="000000" w:themeColor="text1"/>
        </w:rPr>
        <w:t>, which focuses on race and dis/ability,</w:t>
      </w:r>
      <w:r w:rsidR="000470BB" w:rsidRPr="001433A9">
        <w:rPr>
          <w:color w:val="000000" w:themeColor="text1"/>
        </w:rPr>
        <w:t xml:space="preserve"> and more recent applications of intersectionality in autism research (Botha &amp; Gillespie-Lynch, 2022),</w:t>
      </w:r>
      <w:r w:rsidR="00433C6E" w:rsidRPr="001433A9">
        <w:rPr>
          <w:color w:val="000000" w:themeColor="text1"/>
        </w:rPr>
        <w:t xml:space="preserve"> </w:t>
      </w:r>
      <w:r w:rsidR="000470BB" w:rsidRPr="001433A9">
        <w:rPr>
          <w:color w:val="000000" w:themeColor="text1"/>
        </w:rPr>
        <w:t>also help frame</w:t>
      </w:r>
      <w:r w:rsidR="00705B3E" w:rsidRPr="001433A9">
        <w:rPr>
          <w:color w:val="000000" w:themeColor="text1"/>
        </w:rPr>
        <w:t xml:space="preserve"> exclusion </w:t>
      </w:r>
      <w:r w:rsidR="00433C6E" w:rsidRPr="001433A9">
        <w:rPr>
          <w:color w:val="000000" w:themeColor="text1"/>
        </w:rPr>
        <w:t>of autistic REM</w:t>
      </w:r>
      <w:r w:rsidR="000470BB" w:rsidRPr="001433A9">
        <w:rPr>
          <w:color w:val="000000" w:themeColor="text1"/>
        </w:rPr>
        <w:t xml:space="preserve"> with LI</w:t>
      </w:r>
      <w:r w:rsidR="00433C6E" w:rsidRPr="001433A9">
        <w:rPr>
          <w:color w:val="000000" w:themeColor="text1"/>
        </w:rPr>
        <w:t>.</w:t>
      </w:r>
    </w:p>
    <w:p w14:paraId="5FC670FC" w14:textId="5EF714D8" w:rsidR="00474AFF" w:rsidRPr="001433A9" w:rsidRDefault="00C82253" w:rsidP="00851E32">
      <w:pPr>
        <w:widowControl w:val="0"/>
        <w:spacing w:line="480" w:lineRule="auto"/>
        <w:ind w:firstLine="720"/>
        <w:rPr>
          <w:color w:val="000000" w:themeColor="text1"/>
        </w:rPr>
      </w:pPr>
      <w:r w:rsidRPr="001433A9">
        <w:rPr>
          <w:color w:val="000000" w:themeColor="text1"/>
        </w:rPr>
        <w:t xml:space="preserve">Current dialogue calls for mitigating inequity in autism research representation </w:t>
      </w:r>
      <w:r w:rsidRPr="001433A9">
        <w:rPr>
          <w:noProof/>
          <w:color w:val="000000" w:themeColor="text1"/>
        </w:rPr>
        <w:t>(Jones &amp; Mandell, 2020; Maye et al., 2021)</w:t>
      </w:r>
      <w:r w:rsidR="00AB1433" w:rsidRPr="001433A9">
        <w:rPr>
          <w:noProof/>
          <w:color w:val="000000" w:themeColor="text1"/>
        </w:rPr>
        <w:t xml:space="preserve">, which in turn requires undoing epistemic violence and acknowledging that autism research as a part of science is </w:t>
      </w:r>
      <w:r w:rsidR="00AB1433" w:rsidRPr="001433A9">
        <w:rPr>
          <w:i/>
          <w:iCs/>
          <w:noProof/>
          <w:color w:val="000000" w:themeColor="text1"/>
        </w:rPr>
        <w:t xml:space="preserve">not </w:t>
      </w:r>
      <w:r w:rsidR="00AB1433" w:rsidRPr="001433A9">
        <w:rPr>
          <w:noProof/>
          <w:color w:val="000000" w:themeColor="text1"/>
        </w:rPr>
        <w:t xml:space="preserve">objective, but rather, the product of what to study, how to study it, and what to publish </w:t>
      </w:r>
      <w:r w:rsidR="00AB1433" w:rsidRPr="001433A9">
        <w:rPr>
          <w:color w:val="000000" w:themeColor="text1"/>
        </w:rPr>
        <w:fldChar w:fldCharType="begin"/>
      </w:r>
      <w:r w:rsidR="00AB1433" w:rsidRPr="001433A9">
        <w:rPr>
          <w:color w:val="000000" w:themeColor="text1"/>
        </w:rPr>
        <w:instrText xml:space="preserve"> ADDIN EN.CITE &lt;EndNote&gt;&lt;Cite&gt;&lt;Author&gt;Botha&lt;/Author&gt;&lt;Year&gt;2022&lt;/Year&gt;&lt;RecNum&gt;992&lt;/RecNum&gt;&lt;DisplayText&gt;(Botha, 2022)&lt;/DisplayText&gt;&lt;record&gt;&lt;rec-number&gt;992&lt;/rec-number&gt;&lt;foreign-keys&gt;&lt;key app="EN" db-id="z5esdwstqravs7ett01vvr0xfser2p2s9ats" timestamp="1676418151"&gt;992&lt;/key&gt;&lt;/foreign-keys&gt;&lt;ref-type name="Book Section"&gt;5&lt;/ref-type&gt;&lt;contributors&gt;&lt;authors&gt;&lt;author&gt;Botha, Monique&lt;/author&gt;&lt;/authors&gt;&lt;/contributors&gt;&lt;titles&gt;&lt;title&gt;Community psychology as reparations for violence in the construction of autism knowledge&lt;/title&gt;&lt;secondary-title&gt;The Routledge international handbook of critical autism studies&lt;/secondary-title&gt;&lt;/titles&gt;&lt;pages&gt;76-94&lt;/pages&gt;&lt;dates&gt;&lt;year&gt;2022&lt;/year&gt;&lt;/dates&gt;&lt;publisher&gt;Routledge&lt;/publisher&gt;&lt;isbn&gt;1003056571&lt;/isbn&gt;&lt;urls&gt;&lt;/urls&gt;&lt;/record&gt;&lt;/Cite&gt;&lt;/EndNote&gt;</w:instrText>
      </w:r>
      <w:r w:rsidR="00AB1433" w:rsidRPr="001433A9">
        <w:rPr>
          <w:color w:val="000000" w:themeColor="text1"/>
        </w:rPr>
        <w:fldChar w:fldCharType="separate"/>
      </w:r>
      <w:r w:rsidR="00AB1433" w:rsidRPr="001433A9">
        <w:rPr>
          <w:noProof/>
          <w:color w:val="000000" w:themeColor="text1"/>
        </w:rPr>
        <w:t>(Botha, 2022)</w:t>
      </w:r>
      <w:r w:rsidR="00AB1433" w:rsidRPr="001433A9">
        <w:rPr>
          <w:color w:val="000000" w:themeColor="text1"/>
        </w:rPr>
        <w:fldChar w:fldCharType="end"/>
      </w:r>
      <w:r w:rsidR="00AB1433" w:rsidRPr="001433A9">
        <w:rPr>
          <w:color w:val="000000" w:themeColor="text1"/>
        </w:rPr>
        <w:t xml:space="preserve">; see also </w:t>
      </w:r>
      <w:r w:rsidR="00AB1433" w:rsidRPr="001433A9">
        <w:rPr>
          <w:color w:val="000000" w:themeColor="text1"/>
        </w:rPr>
        <w:fldChar w:fldCharType="begin"/>
      </w:r>
      <w:r w:rsidR="00AB1433" w:rsidRPr="001433A9">
        <w:rPr>
          <w:color w:val="000000" w:themeColor="text1"/>
        </w:rPr>
        <w:instrText xml:space="preserve"> ADDIN EN.CITE &lt;EndNote&gt;&lt;Cite AuthorYear="1"&gt;&lt;Author&gt;Roberts&lt;/Author&gt;&lt;Year&gt;in press&lt;/Year&gt;&lt;RecNum&gt;993&lt;/RecNum&gt;&lt;DisplayText&gt;Roberts (in press)&lt;/DisplayText&gt;&lt;record&gt;&lt;rec-number&gt;993&lt;/rec-number&gt;&lt;foreign-keys&gt;&lt;key app="EN" db-id="z5esdwstqravs7ett01vvr0xfser2p2s9ats" timestamp="1676418473"&gt;993&lt;/key&gt;&lt;/foreign-keys&gt;&lt;ref-type name="Journal Article"&gt;17&lt;/ref-type&gt;&lt;contributors&gt;&lt;authors&gt;&lt;author&gt;Roberts, Steven Othello&lt;/author&gt;&lt;/authors&gt;&lt;/contributors&gt;&lt;titles&gt;&lt;title&gt;Dealing with diversity in psychology: Science and ideology&lt;/title&gt;&lt;secondary-title&gt;Perspectives on Psychological Science,&lt;/secondary-title&gt;&lt;/titles&gt;&lt;periodical&gt;&lt;full-title&gt;Perspectives on Psychological Science,&lt;/full-title&gt;&lt;/periodical&gt;&lt;dates&gt;&lt;year&gt;in press&lt;/year&gt;&lt;/dates&gt;&lt;urls&gt;&lt;/urls&gt;&lt;electronic-resource-num&gt;10.31234/osf.io/xk4yu&lt;/electronic-resource-num&gt;&lt;/record&gt;&lt;/Cite&gt;&lt;/EndNote&gt;</w:instrText>
      </w:r>
      <w:r w:rsidR="00AB1433" w:rsidRPr="001433A9">
        <w:rPr>
          <w:color w:val="000000" w:themeColor="text1"/>
        </w:rPr>
        <w:fldChar w:fldCharType="separate"/>
      </w:r>
      <w:r w:rsidR="00AB1433" w:rsidRPr="001433A9">
        <w:rPr>
          <w:noProof/>
          <w:color w:val="000000" w:themeColor="text1"/>
        </w:rPr>
        <w:t>Roberts (in press)</w:t>
      </w:r>
      <w:r w:rsidR="00AB1433" w:rsidRPr="001433A9">
        <w:rPr>
          <w:color w:val="000000" w:themeColor="text1"/>
        </w:rPr>
        <w:fldChar w:fldCharType="end"/>
      </w:r>
      <w:r w:rsidRPr="001433A9">
        <w:rPr>
          <w:color w:val="000000" w:themeColor="text1"/>
        </w:rPr>
        <w:t xml:space="preserve">. </w:t>
      </w:r>
      <w:r w:rsidRPr="001433A9">
        <w:rPr>
          <w:color w:val="000000" w:themeColor="text1"/>
        </w:rPr>
        <w:lastRenderedPageBreak/>
        <w:t xml:space="preserve">The aim </w:t>
      </w:r>
      <w:r w:rsidR="00AB1433" w:rsidRPr="001433A9">
        <w:rPr>
          <w:color w:val="000000" w:themeColor="text1"/>
        </w:rPr>
        <w:t xml:space="preserve">of mitigating inequity </w:t>
      </w:r>
      <w:r w:rsidRPr="001433A9">
        <w:rPr>
          <w:color w:val="000000" w:themeColor="text1"/>
        </w:rPr>
        <w:t>is to reduce the harm</w:t>
      </w:r>
      <w:r w:rsidR="00FA5742" w:rsidRPr="001433A9">
        <w:rPr>
          <w:color w:val="000000" w:themeColor="text1"/>
        </w:rPr>
        <w:t xml:space="preserve"> to autistic REM with LI</w:t>
      </w:r>
      <w:r w:rsidR="00F63500" w:rsidRPr="001433A9">
        <w:rPr>
          <w:color w:val="000000" w:themeColor="text1"/>
        </w:rPr>
        <w:t xml:space="preserve">, </w:t>
      </w:r>
      <w:r w:rsidRPr="001433A9">
        <w:rPr>
          <w:color w:val="000000" w:themeColor="text1"/>
        </w:rPr>
        <w:t xml:space="preserve">arising from a historic focus on white autistic individuals </w:t>
      </w:r>
      <w:r w:rsidRPr="001433A9">
        <w:rPr>
          <w:noProof/>
          <w:color w:val="000000" w:themeColor="text1"/>
        </w:rPr>
        <w:t>(Durkin et al., 2015)</w:t>
      </w:r>
      <w:r w:rsidR="005A5792" w:rsidRPr="001433A9">
        <w:rPr>
          <w:noProof/>
          <w:color w:val="000000" w:themeColor="text1"/>
        </w:rPr>
        <w:t>,</w:t>
      </w:r>
      <w:r w:rsidR="00F63500" w:rsidRPr="001433A9">
        <w:rPr>
          <w:color w:val="000000" w:themeColor="text1"/>
        </w:rPr>
        <w:t xml:space="preserve"> and</w:t>
      </w:r>
      <w:r w:rsidRPr="001433A9">
        <w:rPr>
          <w:color w:val="000000" w:themeColor="text1"/>
        </w:rPr>
        <w:t xml:space="preserve"> consistent with broad overrepresentation of white individuals and those from Western, educated, industrialized, rich, and democratic (WEIRD) countries in behavioral research </w:t>
      </w:r>
      <w:r w:rsidRPr="001433A9">
        <w:rPr>
          <w:noProof/>
          <w:color w:val="000000" w:themeColor="text1"/>
        </w:rPr>
        <w:t>(Henrich et al., 2010; Roberts &amp; Mortenson, 2022)</w:t>
      </w:r>
      <w:r w:rsidRPr="001433A9">
        <w:rPr>
          <w:color w:val="000000" w:themeColor="text1"/>
        </w:rPr>
        <w:t>. Of course, race and ethnicity interact with other characteristics</w:t>
      </w:r>
      <w:r w:rsidR="006D143B" w:rsidRPr="001433A9">
        <w:rPr>
          <w:color w:val="000000" w:themeColor="text1"/>
        </w:rPr>
        <w:t xml:space="preserve"> that are social constructs, such as dis/ability </w:t>
      </w:r>
      <w:r w:rsidR="00E51A58" w:rsidRPr="001433A9">
        <w:rPr>
          <w:color w:val="000000" w:themeColor="text1"/>
        </w:rPr>
        <w:t xml:space="preserve">(e.g., autism, LI, intellectual disability) </w:t>
      </w:r>
      <w:r w:rsidR="006D143B" w:rsidRPr="001433A9">
        <w:rPr>
          <w:color w:val="000000" w:themeColor="text1"/>
        </w:rPr>
        <w:t>and SES</w:t>
      </w:r>
      <w:r w:rsidRPr="001433A9">
        <w:rPr>
          <w:color w:val="000000" w:themeColor="text1"/>
        </w:rPr>
        <w:t xml:space="preserve">. Altogether, the reactions of others to </w:t>
      </w:r>
      <w:r w:rsidR="006D143B" w:rsidRPr="001433A9">
        <w:rPr>
          <w:color w:val="000000" w:themeColor="text1"/>
        </w:rPr>
        <w:t xml:space="preserve">a confluence of </w:t>
      </w:r>
      <w:r w:rsidRPr="001433A9">
        <w:rPr>
          <w:color w:val="000000" w:themeColor="text1"/>
        </w:rPr>
        <w:t xml:space="preserve">social constructs play a significant role in life outcomes, such as </w:t>
      </w:r>
      <w:r w:rsidR="006D143B" w:rsidRPr="001433A9">
        <w:rPr>
          <w:color w:val="000000" w:themeColor="text1"/>
        </w:rPr>
        <w:t xml:space="preserve">having a fulfilling </w:t>
      </w:r>
      <w:r w:rsidRPr="001433A9">
        <w:rPr>
          <w:color w:val="000000" w:themeColor="text1"/>
        </w:rPr>
        <w:t>social life</w:t>
      </w:r>
      <w:r w:rsidR="002743EE" w:rsidRPr="001433A9">
        <w:rPr>
          <w:color w:val="000000" w:themeColor="text1"/>
        </w:rPr>
        <w:t xml:space="preserve"> </w:t>
      </w:r>
      <w:r w:rsidR="00F63500" w:rsidRPr="001433A9">
        <w:rPr>
          <w:color w:val="000000" w:themeColor="text1"/>
        </w:rPr>
        <w:t xml:space="preserve">and </w:t>
      </w:r>
      <w:r w:rsidRPr="001433A9">
        <w:rPr>
          <w:color w:val="000000" w:themeColor="text1"/>
        </w:rPr>
        <w:t xml:space="preserve">living autonomously. </w:t>
      </w:r>
    </w:p>
    <w:p w14:paraId="741DDD94" w14:textId="768F5AEB" w:rsidR="00C82253" w:rsidRPr="001433A9" w:rsidRDefault="00C82253" w:rsidP="00814983">
      <w:pPr>
        <w:widowControl w:val="0"/>
        <w:spacing w:line="480" w:lineRule="auto"/>
        <w:ind w:firstLine="720"/>
        <w:rPr>
          <w:color w:val="000000" w:themeColor="text1"/>
        </w:rPr>
      </w:pPr>
      <w:r w:rsidRPr="001433A9">
        <w:rPr>
          <w:color w:val="000000" w:themeColor="text1"/>
        </w:rPr>
        <w:t xml:space="preserve">In the United States, the education system plays a central role in </w:t>
      </w:r>
      <w:r w:rsidR="005074A6" w:rsidRPr="001433A9">
        <w:rPr>
          <w:color w:val="000000" w:themeColor="text1"/>
        </w:rPr>
        <w:t>service delivery for</w:t>
      </w:r>
      <w:r w:rsidRPr="001433A9">
        <w:rPr>
          <w:color w:val="000000" w:themeColor="text1"/>
        </w:rPr>
        <w:t xml:space="preserve"> </w:t>
      </w:r>
      <w:r w:rsidR="008B4AD7" w:rsidRPr="001433A9">
        <w:rPr>
          <w:color w:val="000000" w:themeColor="text1"/>
        </w:rPr>
        <w:t>school-age children</w:t>
      </w:r>
      <w:r w:rsidR="00641C63" w:rsidRPr="001433A9">
        <w:rPr>
          <w:color w:val="000000" w:themeColor="text1"/>
        </w:rPr>
        <w:t xml:space="preserve"> </w:t>
      </w:r>
      <w:r w:rsidR="008B4AD7" w:rsidRPr="001433A9">
        <w:rPr>
          <w:color w:val="000000" w:themeColor="text1"/>
        </w:rPr>
        <w:t>ages 3 to 21</w:t>
      </w:r>
      <w:r w:rsidRPr="001433A9">
        <w:rPr>
          <w:color w:val="000000" w:themeColor="text1"/>
        </w:rPr>
        <w:t xml:space="preserve"> </w:t>
      </w:r>
      <w:r w:rsidRPr="001433A9">
        <w:rPr>
          <w:noProof/>
          <w:color w:val="000000" w:themeColor="text1"/>
        </w:rPr>
        <w:t>("Individuals with Disabilities Education Improvement Act of 2004," 2018)</w:t>
      </w:r>
      <w:r w:rsidRPr="001433A9">
        <w:rPr>
          <w:color w:val="000000" w:themeColor="text1"/>
        </w:rPr>
        <w:t xml:space="preserve">. </w:t>
      </w:r>
      <w:r w:rsidR="005074A6" w:rsidRPr="001433A9">
        <w:rPr>
          <w:color w:val="000000" w:themeColor="text1"/>
        </w:rPr>
        <w:t>P</w:t>
      </w:r>
      <w:r w:rsidRPr="001433A9">
        <w:rPr>
          <w:color w:val="000000" w:themeColor="text1"/>
        </w:rPr>
        <w:t xml:space="preserve">ractitioners </w:t>
      </w:r>
      <w:r w:rsidR="008B4AD7" w:rsidRPr="001433A9">
        <w:rPr>
          <w:color w:val="000000" w:themeColor="text1"/>
        </w:rPr>
        <w:t xml:space="preserve">frequently </w:t>
      </w:r>
      <w:r w:rsidRPr="001433A9">
        <w:rPr>
          <w:color w:val="000000" w:themeColor="text1"/>
        </w:rPr>
        <w:t>use age-referenced assessments</w:t>
      </w:r>
      <w:r w:rsidR="005074A6" w:rsidRPr="001433A9">
        <w:rPr>
          <w:color w:val="000000" w:themeColor="text1"/>
        </w:rPr>
        <w:t xml:space="preserve"> </w:t>
      </w:r>
      <w:r w:rsidRPr="001433A9">
        <w:rPr>
          <w:color w:val="000000" w:themeColor="text1"/>
        </w:rPr>
        <w:t>to qualify children for service</w:t>
      </w:r>
      <w:r w:rsidR="00135F90" w:rsidRPr="001433A9">
        <w:rPr>
          <w:color w:val="000000" w:themeColor="text1"/>
        </w:rPr>
        <w:t>s</w:t>
      </w:r>
      <w:r w:rsidR="005074A6" w:rsidRPr="001433A9">
        <w:rPr>
          <w:color w:val="000000" w:themeColor="text1"/>
        </w:rPr>
        <w:t xml:space="preserve"> </w:t>
      </w:r>
      <w:r w:rsidRPr="001433A9">
        <w:rPr>
          <w:noProof/>
          <w:color w:val="000000" w:themeColor="text1"/>
        </w:rPr>
        <w:t>(Betz et al., 2013; Selin et al., 2022)</w:t>
      </w:r>
      <w:r w:rsidRPr="001433A9">
        <w:rPr>
          <w:color w:val="000000" w:themeColor="text1"/>
        </w:rPr>
        <w:t>.</w:t>
      </w:r>
      <w:r w:rsidR="002C4B21" w:rsidRPr="001433A9">
        <w:rPr>
          <w:color w:val="000000" w:themeColor="text1"/>
        </w:rPr>
        <w:t xml:space="preserve"> </w:t>
      </w:r>
      <w:r w:rsidR="005074A6" w:rsidRPr="001433A9">
        <w:rPr>
          <w:color w:val="000000" w:themeColor="text1"/>
        </w:rPr>
        <w:t xml:space="preserve">Both </w:t>
      </w:r>
      <w:r w:rsidR="00727BEF" w:rsidRPr="001433A9">
        <w:rPr>
          <w:color w:val="000000" w:themeColor="text1"/>
        </w:rPr>
        <w:t xml:space="preserve">clinical </w:t>
      </w:r>
      <w:r w:rsidR="005074A6" w:rsidRPr="001433A9">
        <w:rPr>
          <w:color w:val="000000" w:themeColor="text1"/>
        </w:rPr>
        <w:t>and epidemiological</w:t>
      </w:r>
      <w:r w:rsidR="002C4B21" w:rsidRPr="001433A9">
        <w:rPr>
          <w:color w:val="000000" w:themeColor="text1"/>
        </w:rPr>
        <w:t xml:space="preserve"> research on LI use cutoff</w:t>
      </w:r>
      <w:r w:rsidR="003D19FD" w:rsidRPr="001433A9">
        <w:rPr>
          <w:color w:val="000000" w:themeColor="text1"/>
        </w:rPr>
        <w:t>s</w:t>
      </w:r>
      <w:r w:rsidR="002C4B21" w:rsidRPr="001433A9">
        <w:rPr>
          <w:color w:val="000000" w:themeColor="text1"/>
        </w:rPr>
        <w:t xml:space="preserve"> on language assessments </w:t>
      </w:r>
      <w:r w:rsidR="003D19FD" w:rsidRPr="001433A9">
        <w:rPr>
          <w:color w:val="000000" w:themeColor="text1"/>
        </w:rPr>
        <w:t xml:space="preserve">to identify LI </w:t>
      </w:r>
      <w:r w:rsidR="002C4B21" w:rsidRPr="001433A9">
        <w:rPr>
          <w:color w:val="000000" w:themeColor="text1"/>
        </w:rPr>
        <w:t>(</w:t>
      </w:r>
      <w:r w:rsidR="002C4B21" w:rsidRPr="001433A9">
        <w:rPr>
          <w:noProof/>
          <w:color w:val="000000" w:themeColor="text1"/>
        </w:rPr>
        <w:t>Norbury et al., 2016; Tomblin et al., 1997; Tomblin et al., 1996).</w:t>
      </w:r>
      <w:r w:rsidRPr="001433A9">
        <w:rPr>
          <w:color w:val="000000" w:themeColor="text1"/>
        </w:rPr>
        <w:t xml:space="preserve"> </w:t>
      </w:r>
      <w:r w:rsidR="002C4B21" w:rsidRPr="001433A9">
        <w:rPr>
          <w:color w:val="000000" w:themeColor="text1"/>
        </w:rPr>
        <w:t>This practice</w:t>
      </w:r>
      <w:r w:rsidR="004E0E5B" w:rsidRPr="001433A9">
        <w:rPr>
          <w:color w:val="000000" w:themeColor="text1"/>
        </w:rPr>
        <w:t xml:space="preserve"> aligns to a medical model of disability</w:t>
      </w:r>
      <w:r w:rsidR="002C4B21" w:rsidRPr="001433A9">
        <w:rPr>
          <w:color w:val="000000" w:themeColor="text1"/>
        </w:rPr>
        <w:t xml:space="preserve">, with </w:t>
      </w:r>
      <w:r w:rsidR="004E0E5B" w:rsidRPr="001433A9">
        <w:rPr>
          <w:color w:val="000000" w:themeColor="text1"/>
        </w:rPr>
        <w:t xml:space="preserve">diagnosis </w:t>
      </w:r>
      <w:r w:rsidR="001463BA" w:rsidRPr="001433A9">
        <w:rPr>
          <w:color w:val="000000" w:themeColor="text1"/>
        </w:rPr>
        <w:t xml:space="preserve">often </w:t>
      </w:r>
      <w:r w:rsidR="002C4B21" w:rsidRPr="001433A9">
        <w:rPr>
          <w:color w:val="000000" w:themeColor="text1"/>
        </w:rPr>
        <w:t>serving as</w:t>
      </w:r>
      <w:r w:rsidR="004E0E5B" w:rsidRPr="001433A9">
        <w:rPr>
          <w:color w:val="000000" w:themeColor="text1"/>
        </w:rPr>
        <w:t xml:space="preserve"> </w:t>
      </w:r>
      <w:r w:rsidR="002C4B21" w:rsidRPr="001433A9">
        <w:rPr>
          <w:color w:val="000000" w:themeColor="text1"/>
        </w:rPr>
        <w:t xml:space="preserve">the </w:t>
      </w:r>
      <w:r w:rsidR="004E0E5B" w:rsidRPr="001433A9">
        <w:rPr>
          <w:color w:val="000000" w:themeColor="text1"/>
        </w:rPr>
        <w:t>pathway to accessing services</w:t>
      </w:r>
      <w:r w:rsidR="0061637A" w:rsidRPr="001433A9">
        <w:rPr>
          <w:color w:val="000000" w:themeColor="text1"/>
        </w:rPr>
        <w:t xml:space="preserve"> to support individual goals for language and communication </w:t>
      </w:r>
      <w:r w:rsidR="004E0E5B" w:rsidRPr="001433A9">
        <w:rPr>
          <w:color w:val="000000" w:themeColor="text1"/>
        </w:rPr>
        <w:t xml:space="preserve">(Selin et al., 2022). </w:t>
      </w:r>
      <w:r w:rsidR="00AB1433" w:rsidRPr="001433A9">
        <w:rPr>
          <w:color w:val="000000" w:themeColor="text1"/>
        </w:rPr>
        <w:t xml:space="preserve">As </w:t>
      </w:r>
      <w:r w:rsidR="00AB1433" w:rsidRPr="001433A9">
        <w:rPr>
          <w:color w:val="000000" w:themeColor="text1"/>
        </w:rPr>
        <w:fldChar w:fldCharType="begin"/>
      </w:r>
      <w:r w:rsidR="00AB1433" w:rsidRPr="001433A9">
        <w:rPr>
          <w:color w:val="000000" w:themeColor="text1"/>
        </w:rPr>
        <w:instrText xml:space="preserve"> ADDIN EN.CITE &lt;EndNote&gt;&lt;Cite AuthorYear="1"&gt;&lt;Author&gt;Botha&lt;/Author&gt;&lt;Year&gt;2022&lt;/Year&gt;&lt;RecNum&gt;995&lt;/RecNum&gt;&lt;DisplayText&gt;Botha and Cage (2022)&lt;/DisplayText&gt;&lt;record&gt;&lt;rec-number&gt;995&lt;/rec-number&gt;&lt;foreign-keys&gt;&lt;key app="EN" db-id="z5esdwstqravs7ett01vvr0xfser2p2s9ats" timestamp="1676418959"&gt;995&lt;/key&gt;&lt;/foreign-keys&gt;&lt;ref-type name="Journal Article"&gt;17&lt;/ref-type&gt;&lt;contributors&gt;&lt;authors&gt;&lt;author&gt;Botha, Monique&lt;/author&gt;&lt;author&gt;Cage, Eilidh&lt;/author&gt;&lt;/authors&gt;&lt;/contributors&gt;&lt;titles&gt;&lt;title&gt;“Autism research is in crisis”: A mixed method study of researcher’s constructions of autistic people and autism research&lt;/title&gt;&lt;secondary-title&gt;Frontiers in Psychology&lt;/secondary-title&gt;&lt;/titles&gt;&lt;periodical&gt;&lt;full-title&gt;Frontiers in psychology&lt;/full-title&gt;&lt;/periodical&gt;&lt;pages&gt;7397&lt;/pages&gt;&lt;volume&gt;13&lt;/volume&gt;&lt;dates&gt;&lt;year&gt;2022&lt;/year&gt;&lt;/dates&gt;&lt;isbn&gt;1664-1078&lt;/isbn&gt;&lt;urls&gt;&lt;/urls&gt;&lt;electronic-resource-num&gt;10.3389/fpsyg.2022.1050897&lt;/electronic-resource-num&gt;&lt;/record&gt;&lt;/Cite&gt;&lt;/EndNote&gt;</w:instrText>
      </w:r>
      <w:r w:rsidR="00AB1433" w:rsidRPr="001433A9">
        <w:rPr>
          <w:color w:val="000000" w:themeColor="text1"/>
        </w:rPr>
        <w:fldChar w:fldCharType="separate"/>
      </w:r>
      <w:r w:rsidR="00AB1433" w:rsidRPr="001433A9">
        <w:rPr>
          <w:noProof/>
          <w:color w:val="000000" w:themeColor="text1"/>
        </w:rPr>
        <w:t>Botha and Cage (2022)</w:t>
      </w:r>
      <w:r w:rsidR="00AB1433" w:rsidRPr="001433A9">
        <w:rPr>
          <w:color w:val="000000" w:themeColor="text1"/>
        </w:rPr>
        <w:fldChar w:fldCharType="end"/>
      </w:r>
      <w:r w:rsidR="00AB1433" w:rsidRPr="001433A9">
        <w:rPr>
          <w:color w:val="000000" w:themeColor="text1"/>
        </w:rPr>
        <w:t xml:space="preserve"> have noted, language arising from such a model of disability can perpetuate stigma and ableism by </w:t>
      </w:r>
      <w:r w:rsidR="00D73F56" w:rsidRPr="001433A9">
        <w:rPr>
          <w:color w:val="000000" w:themeColor="text1"/>
        </w:rPr>
        <w:t>focusing on</w:t>
      </w:r>
      <w:r w:rsidR="00AB1433" w:rsidRPr="001433A9">
        <w:rPr>
          <w:color w:val="000000" w:themeColor="text1"/>
        </w:rPr>
        <w:t xml:space="preserve"> deficits</w:t>
      </w:r>
      <w:r w:rsidR="00814983" w:rsidRPr="001433A9">
        <w:rPr>
          <w:color w:val="000000" w:themeColor="text1"/>
        </w:rPr>
        <w:t xml:space="preserve">. Pivoting from this model involves firstly, underlining that the importance </w:t>
      </w:r>
      <w:r w:rsidR="00AB1433" w:rsidRPr="001433A9">
        <w:rPr>
          <w:color w:val="000000" w:themeColor="text1"/>
        </w:rPr>
        <w:t>of access</w:t>
      </w:r>
      <w:r w:rsidR="00814983" w:rsidRPr="001433A9">
        <w:rPr>
          <w:color w:val="000000" w:themeColor="text1"/>
        </w:rPr>
        <w:t xml:space="preserve"> to services</w:t>
      </w:r>
      <w:r w:rsidR="00AB1433" w:rsidRPr="001433A9">
        <w:rPr>
          <w:color w:val="000000" w:themeColor="text1"/>
        </w:rPr>
        <w:t xml:space="preserve"> lies in promoting self-determination</w:t>
      </w:r>
      <w:r w:rsidR="00814983" w:rsidRPr="001433A9">
        <w:rPr>
          <w:color w:val="000000" w:themeColor="text1"/>
        </w:rPr>
        <w:t>,</w:t>
      </w:r>
      <w:r w:rsidR="00AB1433" w:rsidRPr="001433A9">
        <w:rPr>
          <w:color w:val="000000" w:themeColor="text1"/>
        </w:rPr>
        <w:t xml:space="preserve"> an important predictor in positive outcomes of youth with disabilities </w:t>
      </w:r>
      <w:r w:rsidR="00AB1433" w:rsidRPr="001433A9">
        <w:rPr>
          <w:color w:val="000000" w:themeColor="text1"/>
        </w:rPr>
        <w:fldChar w:fldCharType="begin"/>
      </w:r>
      <w:r w:rsidR="00AB1433" w:rsidRPr="001433A9">
        <w:rPr>
          <w:color w:val="000000" w:themeColor="text1"/>
        </w:rPr>
        <w:instrText xml:space="preserve"> ADDIN EN.CITE &lt;EndNote&gt;&lt;Cite&gt;&lt;Author&gt;Shogren&lt;/Author&gt;&lt;Year&gt;2015&lt;/Year&gt;&lt;RecNum&gt;994&lt;/RecNum&gt;&lt;DisplayText&gt;(Shogren et al., 2015)&lt;/DisplayText&gt;&lt;record&gt;&lt;rec-number&gt;994&lt;/rec-number&gt;&lt;foreign-keys&gt;&lt;key app="EN" db-id="z5esdwstqravs7ett01vvr0xfser2p2s9ats" timestamp="1676418841"&gt;994&lt;/key&gt;&lt;/foreign-keys&gt;&lt;ref-type name="Journal Article"&gt;17&lt;/ref-type&gt;&lt;contributors&gt;&lt;authors&gt;&lt;author&gt;Shogren, Karrie A&lt;/author&gt;&lt;author&gt;Wehmeyer, Michael L&lt;/author&gt;&lt;author&gt;Palmer, Susan B&lt;/author&gt;&lt;author&gt;Rifenbark, Graham G&lt;/author&gt;&lt;author&gt;Little, Todd D&lt;/author&gt;&lt;/authors&gt;&lt;/contributors&gt;&lt;titles&gt;&lt;title&gt;Relationships between self-determination and postschool outcomes for youth with disabilities&lt;/title&gt;&lt;secondary-title&gt;The Journal of Special Education&lt;/secondary-title&gt;&lt;/titles&gt;&lt;periodical&gt;&lt;full-title&gt;The Journal of Special Education&lt;/full-title&gt;&lt;/periodical&gt;&lt;pages&gt;256-267&lt;/pages&gt;&lt;volume&gt;48&lt;/volume&gt;&lt;number&gt;4&lt;/number&gt;&lt;dates&gt;&lt;year&gt;2015&lt;/year&gt;&lt;/dates&gt;&lt;isbn&gt;0022-4669&lt;/isbn&gt;&lt;urls&gt;&lt;/urls&gt;&lt;electronic-resource-num&gt;10.1177/0022466913489733&lt;/electronic-resource-num&gt;&lt;/record&gt;&lt;/Cite&gt;&lt;/EndNote&gt;</w:instrText>
      </w:r>
      <w:r w:rsidR="00AB1433" w:rsidRPr="001433A9">
        <w:rPr>
          <w:color w:val="000000" w:themeColor="text1"/>
        </w:rPr>
        <w:fldChar w:fldCharType="separate"/>
      </w:r>
      <w:r w:rsidR="00AB1433" w:rsidRPr="001433A9">
        <w:rPr>
          <w:noProof/>
          <w:color w:val="000000" w:themeColor="text1"/>
        </w:rPr>
        <w:t>(Shogren et al., 2015)</w:t>
      </w:r>
      <w:r w:rsidR="00AB1433" w:rsidRPr="001433A9">
        <w:rPr>
          <w:color w:val="000000" w:themeColor="text1"/>
        </w:rPr>
        <w:fldChar w:fldCharType="end"/>
      </w:r>
      <w:r w:rsidR="00AB1433" w:rsidRPr="001433A9">
        <w:rPr>
          <w:color w:val="000000" w:themeColor="text1"/>
        </w:rPr>
        <w:t xml:space="preserve">, and </w:t>
      </w:r>
      <w:r w:rsidR="00EE0FAB" w:rsidRPr="001433A9">
        <w:rPr>
          <w:color w:val="000000" w:themeColor="text1"/>
        </w:rPr>
        <w:t xml:space="preserve">secondly, ensuring that </w:t>
      </w:r>
      <w:r w:rsidR="0092228E" w:rsidRPr="001433A9">
        <w:rPr>
          <w:color w:val="000000" w:themeColor="text1"/>
        </w:rPr>
        <w:t>epistemic knowledge is representative of the autistic population</w:t>
      </w:r>
      <w:r w:rsidR="00AB1433" w:rsidRPr="001433A9">
        <w:rPr>
          <w:color w:val="000000" w:themeColor="text1"/>
        </w:rPr>
        <w:t xml:space="preserve">. </w:t>
      </w:r>
      <w:r w:rsidR="0092228E" w:rsidRPr="001433A9">
        <w:rPr>
          <w:color w:val="000000" w:themeColor="text1"/>
        </w:rPr>
        <w:t>Currently</w:t>
      </w:r>
      <w:r w:rsidR="00474AFF" w:rsidRPr="001433A9">
        <w:rPr>
          <w:color w:val="000000" w:themeColor="text1"/>
        </w:rPr>
        <w:t>,</w:t>
      </w:r>
      <w:r w:rsidR="005D1038" w:rsidRPr="001433A9">
        <w:rPr>
          <w:color w:val="000000" w:themeColor="text1"/>
        </w:rPr>
        <w:t xml:space="preserve"> </w:t>
      </w:r>
      <w:r w:rsidR="007D4330" w:rsidRPr="001433A9">
        <w:rPr>
          <w:color w:val="000000" w:themeColor="text1"/>
        </w:rPr>
        <w:t xml:space="preserve">about </w:t>
      </w:r>
      <w:r w:rsidR="00A635FC" w:rsidRPr="001433A9">
        <w:rPr>
          <w:color w:val="000000" w:themeColor="text1"/>
        </w:rPr>
        <w:t>92% of</w:t>
      </w:r>
      <w:r w:rsidR="005D1038" w:rsidRPr="001433A9">
        <w:rPr>
          <w:color w:val="000000" w:themeColor="text1"/>
        </w:rPr>
        <w:t xml:space="preserve"> </w:t>
      </w:r>
      <w:r w:rsidR="00A51B1E" w:rsidRPr="001433A9">
        <w:rPr>
          <w:color w:val="000000" w:themeColor="text1"/>
        </w:rPr>
        <w:t>speech-language pathologists</w:t>
      </w:r>
      <w:r w:rsidR="005D1038" w:rsidRPr="001433A9">
        <w:rPr>
          <w:color w:val="000000" w:themeColor="text1"/>
        </w:rPr>
        <w:t xml:space="preserve"> are likely to be monolingual</w:t>
      </w:r>
      <w:r w:rsidR="00971B72" w:rsidRPr="001433A9">
        <w:rPr>
          <w:color w:val="000000" w:themeColor="text1"/>
        </w:rPr>
        <w:t xml:space="preserve"> English</w:t>
      </w:r>
      <w:r w:rsidR="005D1038" w:rsidRPr="001433A9">
        <w:rPr>
          <w:color w:val="000000" w:themeColor="text1"/>
        </w:rPr>
        <w:t xml:space="preserve"> </w:t>
      </w:r>
      <w:r w:rsidR="00971B72" w:rsidRPr="001433A9">
        <w:rPr>
          <w:color w:val="000000" w:themeColor="text1"/>
        </w:rPr>
        <w:t xml:space="preserve">service providers </w:t>
      </w:r>
      <w:r w:rsidR="005D1038" w:rsidRPr="001433A9">
        <w:rPr>
          <w:color w:val="000000" w:themeColor="text1"/>
        </w:rPr>
        <w:t>us</w:t>
      </w:r>
      <w:r w:rsidR="006578CE" w:rsidRPr="001433A9">
        <w:rPr>
          <w:color w:val="000000" w:themeColor="text1"/>
        </w:rPr>
        <w:t>ing</w:t>
      </w:r>
      <w:r w:rsidR="002C4B21" w:rsidRPr="001433A9">
        <w:rPr>
          <w:color w:val="000000" w:themeColor="text1"/>
        </w:rPr>
        <w:t xml:space="preserve"> age-referenced assessment</w:t>
      </w:r>
      <w:r w:rsidR="00C10592" w:rsidRPr="001433A9">
        <w:rPr>
          <w:color w:val="000000" w:themeColor="text1"/>
        </w:rPr>
        <w:t xml:space="preserve">s whose </w:t>
      </w:r>
      <w:r w:rsidR="002C4B21" w:rsidRPr="001433A9">
        <w:rPr>
          <w:color w:val="000000" w:themeColor="text1"/>
        </w:rPr>
        <w:t>norming samples vary in their representation of autistic REM with LI (</w:t>
      </w:r>
      <w:r w:rsidR="00D45494" w:rsidRPr="001433A9">
        <w:rPr>
          <w:color w:val="000000" w:themeColor="text1"/>
        </w:rPr>
        <w:t>American Speech-</w:t>
      </w:r>
      <w:r w:rsidR="00D45494" w:rsidRPr="001433A9">
        <w:rPr>
          <w:color w:val="000000" w:themeColor="text1"/>
        </w:rPr>
        <w:lastRenderedPageBreak/>
        <w:t xml:space="preserve">Language-Hearing Association, 2022; </w:t>
      </w:r>
      <w:r w:rsidR="002C4B21" w:rsidRPr="001433A9">
        <w:rPr>
          <w:color w:val="000000" w:themeColor="text1"/>
        </w:rPr>
        <w:t>Girolamo et al., 2022b)</w:t>
      </w:r>
      <w:r w:rsidR="00B62B5D" w:rsidRPr="001433A9">
        <w:rPr>
          <w:color w:val="000000" w:themeColor="text1"/>
        </w:rPr>
        <w:t>.</w:t>
      </w:r>
      <w:r w:rsidR="002C4B21" w:rsidRPr="001433A9">
        <w:rPr>
          <w:color w:val="000000" w:themeColor="text1"/>
        </w:rPr>
        <w:t xml:space="preserve"> </w:t>
      </w:r>
      <w:r w:rsidRPr="001433A9">
        <w:rPr>
          <w:color w:val="000000" w:themeColor="text1"/>
        </w:rPr>
        <w:t>This motivates a need to understand representation among school-aged participants in LI in ASD studies, focusing on those which include age-referenced assessments</w:t>
      </w:r>
      <w:r w:rsidR="00C10592" w:rsidRPr="001433A9">
        <w:rPr>
          <w:color w:val="000000" w:themeColor="text1"/>
        </w:rPr>
        <w:t xml:space="preserve"> in English</w:t>
      </w:r>
      <w:r w:rsidRPr="001433A9">
        <w:rPr>
          <w:color w:val="000000" w:themeColor="text1"/>
        </w:rPr>
        <w:t xml:space="preserve">. To evaluate sociodemographic characteristics in concert, this systematic review addressed the following questions: In research </w:t>
      </w:r>
      <w:r w:rsidR="009B3140" w:rsidRPr="001433A9">
        <w:rPr>
          <w:color w:val="000000" w:themeColor="text1"/>
        </w:rPr>
        <w:t>pertaining to</w:t>
      </w:r>
      <w:r w:rsidRPr="001433A9">
        <w:rPr>
          <w:color w:val="000000" w:themeColor="text1"/>
        </w:rPr>
        <w:t xml:space="preserve"> LI in autistic school-age individuals, what are the reporting practices for participant</w:t>
      </w:r>
      <w:r w:rsidR="00654C2B" w:rsidRPr="001433A9">
        <w:rPr>
          <w:color w:val="000000" w:themeColor="text1"/>
        </w:rPr>
        <w:t xml:space="preserve"> </w:t>
      </w:r>
      <w:r w:rsidRPr="001433A9">
        <w:rPr>
          <w:color w:val="000000" w:themeColor="text1"/>
        </w:rPr>
        <w:t xml:space="preserve">sociodemographics? Further, what are the sociodemographics in the literature to date? </w:t>
      </w:r>
    </w:p>
    <w:p w14:paraId="38CA68A8" w14:textId="77777777" w:rsidR="00C82253" w:rsidRPr="001433A9" w:rsidRDefault="00C82253" w:rsidP="00851E32">
      <w:pPr>
        <w:widowControl w:val="0"/>
        <w:spacing w:line="480" w:lineRule="auto"/>
        <w:rPr>
          <w:b/>
          <w:bCs/>
          <w:color w:val="000000" w:themeColor="text1"/>
        </w:rPr>
      </w:pPr>
      <w:r w:rsidRPr="001433A9">
        <w:rPr>
          <w:b/>
          <w:bCs/>
          <w:color w:val="000000" w:themeColor="text1"/>
        </w:rPr>
        <w:t>Framing Inequity in Language Impairment in Autism Research</w:t>
      </w:r>
    </w:p>
    <w:p w14:paraId="481DD277" w14:textId="2D80BA83" w:rsidR="00C82253" w:rsidRPr="001433A9" w:rsidRDefault="00C82253" w:rsidP="00851E32">
      <w:pPr>
        <w:widowControl w:val="0"/>
        <w:spacing w:line="480" w:lineRule="auto"/>
        <w:rPr>
          <w:b/>
          <w:bCs/>
          <w:color w:val="000000" w:themeColor="text1"/>
        </w:rPr>
      </w:pPr>
      <w:r w:rsidRPr="001433A9">
        <w:rPr>
          <w:b/>
          <w:bCs/>
          <w:i/>
          <w:iCs/>
          <w:color w:val="000000" w:themeColor="text1"/>
        </w:rPr>
        <w:t>Exclusion</w:t>
      </w:r>
      <w:r w:rsidR="00F2354A" w:rsidRPr="001433A9">
        <w:rPr>
          <w:b/>
          <w:bCs/>
          <w:i/>
          <w:iCs/>
          <w:color w:val="000000" w:themeColor="text1"/>
        </w:rPr>
        <w:t xml:space="preserve"> in Research</w:t>
      </w:r>
    </w:p>
    <w:p w14:paraId="0453D544" w14:textId="5F5D7FF4" w:rsidR="00296B4E" w:rsidRPr="001433A9" w:rsidRDefault="00F2354A" w:rsidP="00296B4E">
      <w:pPr>
        <w:widowControl w:val="0"/>
        <w:spacing w:line="480" w:lineRule="auto"/>
        <w:ind w:firstLine="720"/>
        <w:rPr>
          <w:color w:val="000000" w:themeColor="text1"/>
        </w:rPr>
      </w:pPr>
      <w:r w:rsidRPr="001433A9">
        <w:rPr>
          <w:color w:val="000000" w:themeColor="text1"/>
        </w:rPr>
        <w:t>A</w:t>
      </w:r>
      <w:r w:rsidR="00C82253" w:rsidRPr="001433A9">
        <w:rPr>
          <w:color w:val="000000" w:themeColor="text1"/>
        </w:rPr>
        <w:t>utism research</w:t>
      </w:r>
      <w:r w:rsidRPr="001433A9">
        <w:rPr>
          <w:color w:val="000000" w:themeColor="text1"/>
        </w:rPr>
        <w:t>,</w:t>
      </w:r>
      <w:r w:rsidR="00C82253" w:rsidRPr="001433A9" w:rsidDel="00641EFC">
        <w:rPr>
          <w:color w:val="000000" w:themeColor="text1"/>
        </w:rPr>
        <w:t xml:space="preserve"> </w:t>
      </w:r>
      <w:r w:rsidR="00C82253" w:rsidRPr="001433A9">
        <w:rPr>
          <w:color w:val="000000" w:themeColor="text1"/>
        </w:rPr>
        <w:t>to date</w:t>
      </w:r>
      <w:r w:rsidRPr="001433A9">
        <w:rPr>
          <w:color w:val="000000" w:themeColor="text1"/>
        </w:rPr>
        <w:t>,</w:t>
      </w:r>
      <w:r w:rsidR="00C82253" w:rsidRPr="001433A9">
        <w:rPr>
          <w:color w:val="000000" w:themeColor="text1"/>
        </w:rPr>
        <w:t xml:space="preserve"> has </w:t>
      </w:r>
      <w:r w:rsidRPr="001433A9">
        <w:rPr>
          <w:color w:val="000000" w:themeColor="text1"/>
        </w:rPr>
        <w:t>yet to</w:t>
      </w:r>
      <w:r w:rsidR="00C82253" w:rsidRPr="001433A9">
        <w:rPr>
          <w:color w:val="000000" w:themeColor="text1"/>
        </w:rPr>
        <w:t xml:space="preserve"> fully examine the underpinnings of </w:t>
      </w:r>
      <w:r w:rsidR="008B4AD7" w:rsidRPr="001433A9">
        <w:rPr>
          <w:color w:val="000000" w:themeColor="text1"/>
        </w:rPr>
        <w:t>exclusion</w:t>
      </w:r>
      <w:r w:rsidR="00C82253" w:rsidRPr="001433A9">
        <w:rPr>
          <w:color w:val="000000" w:themeColor="text1"/>
        </w:rPr>
        <w:t xml:space="preserve">. </w:t>
      </w:r>
      <w:r w:rsidR="00C82253" w:rsidRPr="001433A9">
        <w:rPr>
          <w:noProof/>
          <w:color w:val="000000" w:themeColor="text1"/>
        </w:rPr>
        <w:t xml:space="preserve">Steinbrenner </w:t>
      </w:r>
      <w:r w:rsidR="00751C7D" w:rsidRPr="001433A9">
        <w:rPr>
          <w:noProof/>
          <w:color w:val="000000" w:themeColor="text1"/>
        </w:rPr>
        <w:t>and colleagues</w:t>
      </w:r>
      <w:r w:rsidR="00C82253" w:rsidRPr="001433A9">
        <w:rPr>
          <w:noProof/>
          <w:color w:val="000000" w:themeColor="text1"/>
        </w:rPr>
        <w:t xml:space="preserve"> (2022)</w:t>
      </w:r>
      <w:r w:rsidR="00C82253" w:rsidRPr="001433A9">
        <w:rPr>
          <w:color w:val="000000" w:themeColor="text1"/>
        </w:rPr>
        <w:t xml:space="preserve"> cite intersectionality, racism, and ableism in describing the systemic oppression that surfaces in service access and utilization and research in autism. </w:t>
      </w:r>
      <w:r w:rsidR="00296B4E" w:rsidRPr="001433A9">
        <w:rPr>
          <w:color w:val="000000" w:themeColor="text1"/>
        </w:rPr>
        <w:t xml:space="preserve">Importantly, race and racism </w:t>
      </w:r>
      <w:r w:rsidR="00732909" w:rsidRPr="001433A9">
        <w:rPr>
          <w:color w:val="000000" w:themeColor="text1"/>
        </w:rPr>
        <w:t xml:space="preserve">do </w:t>
      </w:r>
      <w:r w:rsidR="00296B4E" w:rsidRPr="001433A9">
        <w:rPr>
          <w:color w:val="000000" w:themeColor="text1"/>
        </w:rPr>
        <w:t>not occur alone</w:t>
      </w:r>
      <w:r w:rsidR="00586794" w:rsidRPr="001433A9">
        <w:rPr>
          <w:color w:val="000000" w:themeColor="text1"/>
        </w:rPr>
        <w:t xml:space="preserve">, but tend to elicit </w:t>
      </w:r>
      <w:r w:rsidR="00296B4E" w:rsidRPr="001433A9">
        <w:rPr>
          <w:color w:val="000000" w:themeColor="text1"/>
        </w:rPr>
        <w:t xml:space="preserve">hierarchical assumptions about class, sex, and other identities that serve to minoritize autistic REM with LI (Malone et al., 2022). </w:t>
      </w:r>
    </w:p>
    <w:p w14:paraId="3B200C7A" w14:textId="23B857CB" w:rsidR="00C82253" w:rsidRPr="001433A9" w:rsidRDefault="00C82253" w:rsidP="00F2354A">
      <w:pPr>
        <w:widowControl w:val="0"/>
        <w:spacing w:line="480" w:lineRule="auto"/>
        <w:ind w:firstLine="720"/>
        <w:rPr>
          <w:color w:val="000000" w:themeColor="text1"/>
        </w:rPr>
      </w:pPr>
      <w:r w:rsidRPr="001433A9">
        <w:rPr>
          <w:color w:val="000000" w:themeColor="text1"/>
        </w:rPr>
        <w:t xml:space="preserve">Dis/Ability Studies and Critical Race Theory (DisCrit) unify these concepts, positing that race and dis/ability are each social constructs that primarily involve the </w:t>
      </w:r>
      <w:r w:rsidRPr="001433A9">
        <w:rPr>
          <w:i/>
          <w:iCs/>
          <w:color w:val="000000" w:themeColor="text1"/>
        </w:rPr>
        <w:t xml:space="preserve">reactions </w:t>
      </w:r>
      <w:r w:rsidRPr="001433A9">
        <w:rPr>
          <w:color w:val="000000" w:themeColor="text1"/>
        </w:rPr>
        <w:t xml:space="preserve">of others to individual differences, reinforcing and exacerbating one another </w:t>
      </w:r>
      <w:r w:rsidRPr="001433A9">
        <w:rPr>
          <w:noProof/>
          <w:color w:val="000000" w:themeColor="text1"/>
        </w:rPr>
        <w:t>(Annamma et al., 2013</w:t>
      </w:r>
      <w:r w:rsidR="00DD466B" w:rsidRPr="001433A9">
        <w:rPr>
          <w:noProof/>
          <w:color w:val="000000" w:themeColor="text1"/>
        </w:rPr>
        <w:t>,</w:t>
      </w:r>
      <w:r w:rsidRPr="001433A9">
        <w:rPr>
          <w:noProof/>
          <w:color w:val="000000" w:themeColor="text1"/>
        </w:rPr>
        <w:t xml:space="preserve"> 2016</w:t>
      </w:r>
      <w:r w:rsidR="00DD466B" w:rsidRPr="001433A9">
        <w:rPr>
          <w:noProof/>
          <w:color w:val="000000" w:themeColor="text1"/>
        </w:rPr>
        <w:t>,</w:t>
      </w:r>
      <w:r w:rsidRPr="001433A9">
        <w:rPr>
          <w:noProof/>
          <w:color w:val="000000" w:themeColor="text1"/>
        </w:rPr>
        <w:t xml:space="preserve"> 2018)</w:t>
      </w:r>
      <w:r w:rsidRPr="001433A9">
        <w:rPr>
          <w:color w:val="000000" w:themeColor="text1"/>
        </w:rPr>
        <w:t xml:space="preserve">. </w:t>
      </w:r>
      <w:r w:rsidR="00296B4E" w:rsidRPr="001433A9">
        <w:rPr>
          <w:color w:val="000000" w:themeColor="text1"/>
        </w:rPr>
        <w:t xml:space="preserve">As </w:t>
      </w:r>
      <w:r w:rsidR="00641C63" w:rsidRPr="001433A9">
        <w:rPr>
          <w:color w:val="000000" w:themeColor="text1"/>
        </w:rPr>
        <w:t>one type of dis/ability</w:t>
      </w:r>
      <w:r w:rsidR="00296B4E" w:rsidRPr="001433A9">
        <w:rPr>
          <w:color w:val="000000" w:themeColor="text1"/>
        </w:rPr>
        <w:t xml:space="preserve">, </w:t>
      </w:r>
      <w:r w:rsidR="005D774D" w:rsidRPr="001433A9">
        <w:rPr>
          <w:color w:val="000000" w:themeColor="text1"/>
        </w:rPr>
        <w:t>LI can lead to nuanced minoritization</w:t>
      </w:r>
      <w:r w:rsidR="00641C63" w:rsidRPr="001433A9">
        <w:rPr>
          <w:color w:val="000000" w:themeColor="text1"/>
        </w:rPr>
        <w:t xml:space="preserve"> for REM</w:t>
      </w:r>
      <w:r w:rsidR="005D774D" w:rsidRPr="001433A9">
        <w:rPr>
          <w:color w:val="000000" w:themeColor="text1"/>
        </w:rPr>
        <w:t>. A</w:t>
      </w:r>
      <w:r w:rsidR="0051621A" w:rsidRPr="001433A9">
        <w:rPr>
          <w:color w:val="000000" w:themeColor="text1"/>
        </w:rPr>
        <w:t>nalysis of U.S. state-level data from 20</w:t>
      </w:r>
      <w:r w:rsidR="000A552C" w:rsidRPr="001433A9">
        <w:rPr>
          <w:color w:val="000000" w:themeColor="text1"/>
        </w:rPr>
        <w:t>0</w:t>
      </w:r>
      <w:r w:rsidR="0051621A" w:rsidRPr="001433A9">
        <w:rPr>
          <w:color w:val="000000" w:themeColor="text1"/>
        </w:rPr>
        <w:t>4 to 2014 revealed that</w:t>
      </w:r>
      <w:r w:rsidR="00173690" w:rsidRPr="001433A9">
        <w:rPr>
          <w:color w:val="000000" w:themeColor="text1"/>
        </w:rPr>
        <w:t xml:space="preserve"> Black children </w:t>
      </w:r>
      <w:r w:rsidR="0051621A" w:rsidRPr="001433A9">
        <w:rPr>
          <w:color w:val="000000" w:themeColor="text1"/>
        </w:rPr>
        <w:t>were</w:t>
      </w:r>
      <w:r w:rsidR="00173690" w:rsidRPr="001433A9">
        <w:rPr>
          <w:color w:val="000000" w:themeColor="text1"/>
        </w:rPr>
        <w:t xml:space="preserve"> </w:t>
      </w:r>
      <w:r w:rsidR="0051621A" w:rsidRPr="001433A9">
        <w:rPr>
          <w:color w:val="000000" w:themeColor="text1"/>
        </w:rPr>
        <w:t>likely</w:t>
      </w:r>
      <w:r w:rsidR="00173690" w:rsidRPr="001433A9">
        <w:rPr>
          <w:color w:val="000000" w:themeColor="text1"/>
        </w:rPr>
        <w:t xml:space="preserve"> to </w:t>
      </w:r>
      <w:r w:rsidR="0051621A" w:rsidRPr="001433A9">
        <w:rPr>
          <w:color w:val="000000" w:themeColor="text1"/>
        </w:rPr>
        <w:t xml:space="preserve">be </w:t>
      </w:r>
      <w:r w:rsidR="00173690" w:rsidRPr="001433A9">
        <w:rPr>
          <w:color w:val="000000" w:themeColor="text1"/>
        </w:rPr>
        <w:t>under</w:t>
      </w:r>
      <w:r w:rsidR="002D237A" w:rsidRPr="001433A9">
        <w:rPr>
          <w:color w:val="000000" w:themeColor="text1"/>
        </w:rPr>
        <w:t>-</w:t>
      </w:r>
      <w:r w:rsidR="00173690" w:rsidRPr="001433A9">
        <w:rPr>
          <w:color w:val="000000" w:themeColor="text1"/>
        </w:rPr>
        <w:t>identified</w:t>
      </w:r>
      <w:r w:rsidR="000A552C" w:rsidRPr="001433A9">
        <w:rPr>
          <w:color w:val="000000" w:themeColor="text1"/>
        </w:rPr>
        <w:t xml:space="preserve"> </w:t>
      </w:r>
      <w:r w:rsidR="0051621A" w:rsidRPr="001433A9">
        <w:rPr>
          <w:color w:val="000000" w:themeColor="text1"/>
        </w:rPr>
        <w:t>as having LI (Robinson &amp; Norton, 2019). This disparity is attributable</w:t>
      </w:r>
      <w:r w:rsidR="00F2354A" w:rsidRPr="001433A9">
        <w:rPr>
          <w:color w:val="000000" w:themeColor="text1"/>
        </w:rPr>
        <w:t xml:space="preserve"> to the reactions of others (e.g., </w:t>
      </w:r>
      <w:r w:rsidR="00641C63" w:rsidRPr="001433A9">
        <w:rPr>
          <w:color w:val="000000" w:themeColor="text1"/>
        </w:rPr>
        <w:t>health professionals responsible for diagnosis</w:t>
      </w:r>
      <w:r w:rsidR="00F2354A" w:rsidRPr="001433A9">
        <w:rPr>
          <w:color w:val="000000" w:themeColor="text1"/>
        </w:rPr>
        <w:t>)</w:t>
      </w:r>
      <w:r w:rsidR="0051621A" w:rsidRPr="001433A9">
        <w:rPr>
          <w:color w:val="000000" w:themeColor="text1"/>
        </w:rPr>
        <w:t xml:space="preserve"> to LI in Black children</w:t>
      </w:r>
      <w:r w:rsidR="0040591C" w:rsidRPr="001433A9">
        <w:rPr>
          <w:color w:val="000000" w:themeColor="text1"/>
        </w:rPr>
        <w:t xml:space="preserve"> and </w:t>
      </w:r>
      <w:r w:rsidR="00F2354A" w:rsidRPr="001433A9">
        <w:rPr>
          <w:color w:val="000000" w:themeColor="text1"/>
        </w:rPr>
        <w:t>constitutes biomedical racism</w:t>
      </w:r>
      <w:r w:rsidR="0051621A" w:rsidRPr="001433A9">
        <w:rPr>
          <w:color w:val="000000" w:themeColor="text1"/>
        </w:rPr>
        <w:t xml:space="preserve">. </w:t>
      </w:r>
      <w:r w:rsidRPr="001433A9">
        <w:rPr>
          <w:color w:val="000000" w:themeColor="text1"/>
        </w:rPr>
        <w:t xml:space="preserve">DisCrit also draws from intersectionality theory </w:t>
      </w:r>
      <w:r w:rsidRPr="001433A9">
        <w:rPr>
          <w:noProof/>
          <w:color w:val="000000" w:themeColor="text1"/>
        </w:rPr>
        <w:t>(Crenshaw, 198</w:t>
      </w:r>
      <w:r w:rsidR="00DD466B" w:rsidRPr="001433A9">
        <w:rPr>
          <w:noProof/>
          <w:color w:val="000000" w:themeColor="text1"/>
        </w:rPr>
        <w:t>9</w:t>
      </w:r>
      <w:r w:rsidRPr="001433A9">
        <w:rPr>
          <w:noProof/>
          <w:color w:val="000000" w:themeColor="text1"/>
        </w:rPr>
        <w:t>, 1991)</w:t>
      </w:r>
      <w:r w:rsidRPr="001433A9">
        <w:rPr>
          <w:color w:val="000000" w:themeColor="text1"/>
        </w:rPr>
        <w:t xml:space="preserve">, which recognizes that </w:t>
      </w:r>
      <w:r w:rsidR="00286514" w:rsidRPr="001433A9">
        <w:rPr>
          <w:color w:val="000000" w:themeColor="text1"/>
        </w:rPr>
        <w:t>REM</w:t>
      </w:r>
      <w:r w:rsidRPr="001433A9">
        <w:rPr>
          <w:color w:val="000000" w:themeColor="text1"/>
        </w:rPr>
        <w:t xml:space="preserve"> may have multiple identities each associated with </w:t>
      </w:r>
      <w:r w:rsidRPr="001433A9">
        <w:rPr>
          <w:color w:val="000000" w:themeColor="text1"/>
        </w:rPr>
        <w:lastRenderedPageBreak/>
        <w:t>marginalization</w:t>
      </w:r>
      <w:r w:rsidR="006D143B" w:rsidRPr="001433A9">
        <w:rPr>
          <w:color w:val="000000" w:themeColor="text1"/>
        </w:rPr>
        <w:t>. For instance, while</w:t>
      </w:r>
      <w:r w:rsidR="007E69D5" w:rsidRPr="001433A9">
        <w:rPr>
          <w:color w:val="000000" w:themeColor="text1"/>
        </w:rPr>
        <w:t xml:space="preserve"> autistic adults who are Medicaid beneficiaries </w:t>
      </w:r>
      <w:r w:rsidR="00892D3F" w:rsidRPr="001433A9">
        <w:rPr>
          <w:color w:val="000000" w:themeColor="text1"/>
        </w:rPr>
        <w:t>experience</w:t>
      </w:r>
      <w:r w:rsidR="007E69D5" w:rsidRPr="001433A9">
        <w:rPr>
          <w:color w:val="000000" w:themeColor="text1"/>
        </w:rPr>
        <w:t xml:space="preserve"> worse health outcomes than non-autistic beneficiaries, autistic REM beneficiaries are </w:t>
      </w:r>
      <w:r w:rsidR="00892D3F" w:rsidRPr="001433A9">
        <w:rPr>
          <w:color w:val="000000" w:themeColor="text1"/>
        </w:rPr>
        <w:t xml:space="preserve">even </w:t>
      </w:r>
      <w:r w:rsidR="007E69D5" w:rsidRPr="001433A9">
        <w:rPr>
          <w:color w:val="000000" w:themeColor="text1"/>
        </w:rPr>
        <w:t>more likely</w:t>
      </w:r>
      <w:r w:rsidR="007E69D5" w:rsidRPr="001433A9">
        <w:rPr>
          <w:i/>
          <w:iCs/>
          <w:color w:val="000000" w:themeColor="text1"/>
        </w:rPr>
        <w:t xml:space="preserve"> </w:t>
      </w:r>
      <w:r w:rsidR="007E69D5" w:rsidRPr="001433A9">
        <w:rPr>
          <w:color w:val="000000" w:themeColor="text1"/>
        </w:rPr>
        <w:t>than white autistic beneficiaries to have diabetes (Schott et al., 2022)</w:t>
      </w:r>
      <w:r w:rsidR="006F4D2E" w:rsidRPr="001433A9">
        <w:rPr>
          <w:color w:val="000000" w:themeColor="text1"/>
        </w:rPr>
        <w:t xml:space="preserve"> – evidence of </w:t>
      </w:r>
      <w:r w:rsidR="005A5792" w:rsidRPr="001433A9">
        <w:rPr>
          <w:color w:val="000000" w:themeColor="text1"/>
        </w:rPr>
        <w:t>intersectional</w:t>
      </w:r>
      <w:r w:rsidR="006F4D2E" w:rsidRPr="001433A9">
        <w:rPr>
          <w:color w:val="000000" w:themeColor="text1"/>
        </w:rPr>
        <w:t xml:space="preserve"> marginalization</w:t>
      </w:r>
      <w:r w:rsidR="005D774D" w:rsidRPr="001433A9">
        <w:rPr>
          <w:color w:val="000000" w:themeColor="text1"/>
        </w:rPr>
        <w:t xml:space="preserve">. </w:t>
      </w:r>
      <w:r w:rsidR="006F4D2E" w:rsidRPr="001433A9">
        <w:rPr>
          <w:color w:val="000000" w:themeColor="text1"/>
        </w:rPr>
        <w:t>B</w:t>
      </w:r>
      <w:r w:rsidR="005D774D" w:rsidRPr="001433A9">
        <w:rPr>
          <w:color w:val="000000" w:themeColor="text1"/>
        </w:rPr>
        <w:t xml:space="preserve">eing an autistic REM </w:t>
      </w:r>
      <w:r w:rsidR="00F2354A" w:rsidRPr="001433A9">
        <w:rPr>
          <w:color w:val="000000" w:themeColor="text1"/>
        </w:rPr>
        <w:t>with</w:t>
      </w:r>
      <w:r w:rsidR="005D774D" w:rsidRPr="001433A9">
        <w:rPr>
          <w:color w:val="000000" w:themeColor="text1"/>
        </w:rPr>
        <w:t xml:space="preserve"> LI</w:t>
      </w:r>
      <w:r w:rsidR="00F2354A" w:rsidRPr="001433A9">
        <w:rPr>
          <w:color w:val="000000" w:themeColor="text1"/>
        </w:rPr>
        <w:t xml:space="preserve"> </w:t>
      </w:r>
      <w:r w:rsidR="005D774D" w:rsidRPr="001433A9">
        <w:rPr>
          <w:color w:val="000000" w:themeColor="text1"/>
        </w:rPr>
        <w:t>versus without LI</w:t>
      </w:r>
      <w:r w:rsidR="004B3820" w:rsidRPr="001433A9">
        <w:rPr>
          <w:color w:val="000000" w:themeColor="text1"/>
        </w:rPr>
        <w:t xml:space="preserve"> </w:t>
      </w:r>
      <w:r w:rsidR="004C5E3D" w:rsidRPr="001433A9">
        <w:rPr>
          <w:color w:val="000000" w:themeColor="text1"/>
        </w:rPr>
        <w:t>may involve</w:t>
      </w:r>
      <w:r w:rsidR="004B3820" w:rsidRPr="001433A9">
        <w:rPr>
          <w:color w:val="000000" w:themeColor="text1"/>
        </w:rPr>
        <w:t xml:space="preserve"> </w:t>
      </w:r>
      <w:r w:rsidR="006F4D2E" w:rsidRPr="001433A9">
        <w:rPr>
          <w:color w:val="000000" w:themeColor="text1"/>
        </w:rPr>
        <w:t>heightened</w:t>
      </w:r>
      <w:r w:rsidR="004B3820" w:rsidRPr="001433A9">
        <w:rPr>
          <w:color w:val="000000" w:themeColor="text1"/>
        </w:rPr>
        <w:t xml:space="preserve"> minoritization</w:t>
      </w:r>
      <w:r w:rsidR="007E69D5" w:rsidRPr="001433A9">
        <w:rPr>
          <w:color w:val="000000" w:themeColor="text1"/>
        </w:rPr>
        <w:t>.</w:t>
      </w:r>
      <w:r w:rsidR="000A552C" w:rsidRPr="001433A9">
        <w:rPr>
          <w:color w:val="000000" w:themeColor="text1"/>
        </w:rPr>
        <w:t xml:space="preserve"> </w:t>
      </w:r>
    </w:p>
    <w:p w14:paraId="578B77B7" w14:textId="1265BBF8" w:rsidR="00C82253" w:rsidRPr="001433A9" w:rsidRDefault="004B3820" w:rsidP="00851E32">
      <w:pPr>
        <w:widowControl w:val="0"/>
        <w:spacing w:line="480" w:lineRule="auto"/>
        <w:ind w:firstLine="720"/>
        <w:rPr>
          <w:color w:val="000000" w:themeColor="text1"/>
        </w:rPr>
      </w:pPr>
      <w:r w:rsidRPr="001433A9">
        <w:rPr>
          <w:color w:val="000000" w:themeColor="text1"/>
        </w:rPr>
        <w:t>These theories are</w:t>
      </w:r>
      <w:r w:rsidR="00C82253" w:rsidRPr="001433A9">
        <w:rPr>
          <w:color w:val="000000" w:themeColor="text1"/>
        </w:rPr>
        <w:t xml:space="preserve"> applicable to research. Ideally, a researcher recruits all participants who meet selection criterion </w:t>
      </w:r>
      <w:r w:rsidR="00C82253" w:rsidRPr="001433A9">
        <w:rPr>
          <w:noProof/>
          <w:color w:val="000000" w:themeColor="text1"/>
        </w:rPr>
        <w:t xml:space="preserve">(Girolamo et al., </w:t>
      </w:r>
      <w:r w:rsidR="006A517C" w:rsidRPr="001433A9">
        <w:rPr>
          <w:noProof/>
          <w:color w:val="000000" w:themeColor="text1"/>
        </w:rPr>
        <w:t>2022</w:t>
      </w:r>
      <w:r w:rsidR="00FD1130" w:rsidRPr="001433A9">
        <w:rPr>
          <w:noProof/>
          <w:color w:val="000000" w:themeColor="text1"/>
        </w:rPr>
        <w:t>a</w:t>
      </w:r>
      <w:r w:rsidR="00C82253" w:rsidRPr="001433A9">
        <w:rPr>
          <w:noProof/>
          <w:color w:val="000000" w:themeColor="text1"/>
        </w:rPr>
        <w:t>)</w:t>
      </w:r>
      <w:r w:rsidR="00C82253" w:rsidRPr="001433A9">
        <w:rPr>
          <w:color w:val="000000" w:themeColor="text1"/>
        </w:rPr>
        <w:t xml:space="preserve">. In practice, </w:t>
      </w:r>
      <w:r w:rsidR="006F4D2E" w:rsidRPr="001433A9">
        <w:rPr>
          <w:color w:val="000000" w:themeColor="text1"/>
        </w:rPr>
        <w:t xml:space="preserve">however, </w:t>
      </w:r>
      <w:r w:rsidR="00C82253" w:rsidRPr="001433A9">
        <w:rPr>
          <w:color w:val="000000" w:themeColor="text1"/>
        </w:rPr>
        <w:t xml:space="preserve">researchers </w:t>
      </w:r>
      <w:r w:rsidR="004E0E5B" w:rsidRPr="001433A9">
        <w:rPr>
          <w:color w:val="000000" w:themeColor="text1"/>
        </w:rPr>
        <w:t>make</w:t>
      </w:r>
      <w:r w:rsidR="00C82253" w:rsidRPr="001433A9">
        <w:rPr>
          <w:color w:val="000000" w:themeColor="text1"/>
        </w:rPr>
        <w:t xml:space="preserve"> assumptions about which participants </w:t>
      </w:r>
      <w:r w:rsidR="00E51A58" w:rsidRPr="001433A9">
        <w:rPr>
          <w:color w:val="000000" w:themeColor="text1"/>
        </w:rPr>
        <w:t>will</w:t>
      </w:r>
      <w:r w:rsidR="00C82253" w:rsidRPr="001433A9">
        <w:rPr>
          <w:color w:val="000000" w:themeColor="text1"/>
        </w:rPr>
        <w:t xml:space="preserve"> follow complex directions and complete study activities </w:t>
      </w:r>
      <w:r w:rsidR="00C82253" w:rsidRPr="001433A9">
        <w:rPr>
          <w:noProof/>
          <w:color w:val="000000" w:themeColor="text1"/>
        </w:rPr>
        <w:t>(Joseph &amp; Dohan, 2009)</w:t>
      </w:r>
      <w:r w:rsidR="00C82253" w:rsidRPr="001433A9">
        <w:rPr>
          <w:color w:val="000000" w:themeColor="text1"/>
        </w:rPr>
        <w:t xml:space="preserve">; they may also make assumptions about language background based on perceptions about race and ethnicity </w:t>
      </w:r>
      <w:r w:rsidR="00C82253" w:rsidRPr="001433A9">
        <w:rPr>
          <w:noProof/>
          <w:color w:val="000000" w:themeColor="text1"/>
        </w:rPr>
        <w:t xml:space="preserve">(Girolamo et al., </w:t>
      </w:r>
      <w:r w:rsidR="006A517C" w:rsidRPr="001433A9">
        <w:rPr>
          <w:noProof/>
          <w:color w:val="000000" w:themeColor="text1"/>
        </w:rPr>
        <w:t>2022a</w:t>
      </w:r>
      <w:r w:rsidR="00F558EC" w:rsidRPr="001433A9">
        <w:rPr>
          <w:noProof/>
          <w:color w:val="000000" w:themeColor="text1"/>
        </w:rPr>
        <w:t>,</w:t>
      </w:r>
      <w:r w:rsidR="00FD1130" w:rsidRPr="001433A9">
        <w:rPr>
          <w:noProof/>
          <w:color w:val="000000" w:themeColor="text1"/>
        </w:rPr>
        <w:t xml:space="preserve"> 2022c</w:t>
      </w:r>
      <w:r w:rsidR="00C82253" w:rsidRPr="001433A9">
        <w:rPr>
          <w:noProof/>
          <w:color w:val="000000" w:themeColor="text1"/>
        </w:rPr>
        <w:t>)</w:t>
      </w:r>
      <w:r w:rsidR="00C82253" w:rsidRPr="001433A9">
        <w:rPr>
          <w:color w:val="000000" w:themeColor="text1"/>
        </w:rPr>
        <w:t>. These biases</w:t>
      </w:r>
      <w:r w:rsidR="00F2354A" w:rsidRPr="001433A9">
        <w:rPr>
          <w:color w:val="000000" w:themeColor="text1"/>
        </w:rPr>
        <w:t xml:space="preserve"> </w:t>
      </w:r>
      <w:r w:rsidR="00C82253" w:rsidRPr="001433A9">
        <w:rPr>
          <w:color w:val="000000" w:themeColor="text1"/>
        </w:rPr>
        <w:t xml:space="preserve">interact with other </w:t>
      </w:r>
      <w:r w:rsidR="00FD1130" w:rsidRPr="001433A9">
        <w:rPr>
          <w:color w:val="000000" w:themeColor="text1"/>
        </w:rPr>
        <w:t>aspects</w:t>
      </w:r>
      <w:r w:rsidR="00C82253" w:rsidRPr="001433A9">
        <w:rPr>
          <w:color w:val="000000" w:themeColor="text1"/>
        </w:rPr>
        <w:t xml:space="preserve"> of marginalization like</w:t>
      </w:r>
      <w:r w:rsidR="000A552C" w:rsidRPr="001433A9">
        <w:rPr>
          <w:color w:val="000000" w:themeColor="text1"/>
        </w:rPr>
        <w:t xml:space="preserve"> </w:t>
      </w:r>
      <w:r w:rsidR="00C82253" w:rsidRPr="001433A9">
        <w:rPr>
          <w:color w:val="000000" w:themeColor="text1"/>
        </w:rPr>
        <w:t xml:space="preserve">intellectual disability </w:t>
      </w:r>
      <w:r w:rsidR="00C82253" w:rsidRPr="001433A9">
        <w:rPr>
          <w:noProof/>
          <w:color w:val="000000" w:themeColor="text1"/>
        </w:rPr>
        <w:t>(Russell et al., 2019)</w:t>
      </w:r>
      <w:r w:rsidR="00C82253" w:rsidRPr="001433A9">
        <w:rPr>
          <w:color w:val="000000" w:themeColor="text1"/>
        </w:rPr>
        <w:t>.</w:t>
      </w:r>
      <w:r w:rsidR="000A552C" w:rsidRPr="001433A9">
        <w:rPr>
          <w:color w:val="000000" w:themeColor="text1"/>
        </w:rPr>
        <w:t xml:space="preserve"> </w:t>
      </w:r>
      <w:r w:rsidR="006F4D2E" w:rsidRPr="001433A9">
        <w:rPr>
          <w:color w:val="000000" w:themeColor="text1"/>
        </w:rPr>
        <w:t>B</w:t>
      </w:r>
      <w:r w:rsidR="000C4AED" w:rsidRPr="001433A9">
        <w:rPr>
          <w:color w:val="000000" w:themeColor="text1"/>
        </w:rPr>
        <w:t xml:space="preserve">ecause autism </w:t>
      </w:r>
      <w:r w:rsidR="00141D33" w:rsidRPr="001433A9">
        <w:rPr>
          <w:color w:val="000000" w:themeColor="text1"/>
        </w:rPr>
        <w:t>research</w:t>
      </w:r>
      <w:r w:rsidR="000470BB" w:rsidRPr="001433A9">
        <w:rPr>
          <w:color w:val="000000" w:themeColor="text1"/>
        </w:rPr>
        <w:t xml:space="preserve"> tends to</w:t>
      </w:r>
      <w:r w:rsidR="000C4AED" w:rsidRPr="001433A9">
        <w:rPr>
          <w:color w:val="000000" w:themeColor="text1"/>
        </w:rPr>
        <w:t xml:space="preserve"> exclude Black autistic voices </w:t>
      </w:r>
      <w:r w:rsidR="000470BB" w:rsidRPr="001433A9">
        <w:rPr>
          <w:color w:val="000000" w:themeColor="text1"/>
        </w:rPr>
        <w:t>and to avoid an intersectional lens,</w:t>
      </w:r>
      <w:r w:rsidR="000C4AED" w:rsidRPr="001433A9">
        <w:rPr>
          <w:color w:val="000000" w:themeColor="text1"/>
        </w:rPr>
        <w:t xml:space="preserve"> developing a research culture that values inclusion of autistic REM individuals remains elusive (</w:t>
      </w:r>
      <w:r w:rsidR="000470BB" w:rsidRPr="001433A9">
        <w:rPr>
          <w:color w:val="000000" w:themeColor="text1"/>
        </w:rPr>
        <w:t xml:space="preserve">Botha &amp; Gillespie-Lynch, 2022; </w:t>
      </w:r>
      <w:r w:rsidR="000C4AED" w:rsidRPr="001433A9">
        <w:rPr>
          <w:color w:val="000000" w:themeColor="text1"/>
        </w:rPr>
        <w:t>Malone et al., 2022).</w:t>
      </w:r>
      <w:r w:rsidR="000A552C" w:rsidRPr="001433A9">
        <w:rPr>
          <w:color w:val="000000" w:themeColor="text1"/>
        </w:rPr>
        <w:t xml:space="preserve"> </w:t>
      </w:r>
      <w:r w:rsidR="00FA5742" w:rsidRPr="001433A9">
        <w:rPr>
          <w:color w:val="000000" w:themeColor="text1"/>
        </w:rPr>
        <w:t xml:space="preserve">A parallel concern is a default assumption that </w:t>
      </w:r>
      <w:r w:rsidR="006F4D2E" w:rsidRPr="001433A9">
        <w:rPr>
          <w:color w:val="000000" w:themeColor="text1"/>
        </w:rPr>
        <w:t xml:space="preserve">being </w:t>
      </w:r>
      <w:r w:rsidR="00FA5742" w:rsidRPr="001433A9">
        <w:rPr>
          <w:color w:val="000000" w:themeColor="text1"/>
        </w:rPr>
        <w:t>white is the norm in the human experience (Roberts &amp; Mortenson, 2022), decreas</w:t>
      </w:r>
      <w:r w:rsidR="006F4D2E" w:rsidRPr="001433A9">
        <w:rPr>
          <w:color w:val="000000" w:themeColor="text1"/>
        </w:rPr>
        <w:t>ing</w:t>
      </w:r>
      <w:r w:rsidR="00FA5742" w:rsidRPr="001433A9">
        <w:rPr>
          <w:color w:val="000000" w:themeColor="text1"/>
        </w:rPr>
        <w:t xml:space="preserve"> the likelihood that researchers </w:t>
      </w:r>
      <w:r w:rsidR="006F4D2E" w:rsidRPr="001433A9">
        <w:rPr>
          <w:color w:val="000000" w:themeColor="text1"/>
        </w:rPr>
        <w:t xml:space="preserve">will </w:t>
      </w:r>
      <w:r w:rsidR="00FA5742" w:rsidRPr="001433A9">
        <w:rPr>
          <w:color w:val="000000" w:themeColor="text1"/>
        </w:rPr>
        <w:t>approach or partne</w:t>
      </w:r>
      <w:r w:rsidR="006F4D2E" w:rsidRPr="001433A9">
        <w:rPr>
          <w:color w:val="000000" w:themeColor="text1"/>
        </w:rPr>
        <w:t>r</w:t>
      </w:r>
      <w:r w:rsidR="00FA5742" w:rsidRPr="001433A9">
        <w:rPr>
          <w:color w:val="000000" w:themeColor="text1"/>
        </w:rPr>
        <w:t xml:space="preserve"> with autistic REM.</w:t>
      </w:r>
    </w:p>
    <w:p w14:paraId="706E4D77" w14:textId="6F285D52" w:rsidR="00C82253" w:rsidRPr="001433A9" w:rsidRDefault="00C82253" w:rsidP="00851E32">
      <w:pPr>
        <w:widowControl w:val="0"/>
        <w:spacing w:line="480" w:lineRule="auto"/>
        <w:ind w:firstLine="720"/>
        <w:rPr>
          <w:b/>
          <w:bCs/>
          <w:color w:val="000000" w:themeColor="text1"/>
        </w:rPr>
      </w:pPr>
      <w:r w:rsidRPr="001433A9">
        <w:rPr>
          <w:color w:val="000000" w:themeColor="text1"/>
        </w:rPr>
        <w:t xml:space="preserve">Beyond assumptions, researchers </w:t>
      </w:r>
      <w:r w:rsidR="006F4D2E" w:rsidRPr="001433A9">
        <w:rPr>
          <w:color w:val="000000" w:themeColor="text1"/>
        </w:rPr>
        <w:t xml:space="preserve">frequently rely on </w:t>
      </w:r>
      <w:r w:rsidRPr="001433A9">
        <w:rPr>
          <w:color w:val="000000" w:themeColor="text1"/>
        </w:rPr>
        <w:t xml:space="preserve">convenience sampling, which can yield primarily nondiverse samples </w:t>
      </w:r>
      <w:r w:rsidRPr="001433A9">
        <w:rPr>
          <w:noProof/>
          <w:color w:val="000000" w:themeColor="text1"/>
        </w:rPr>
        <w:t xml:space="preserve">(Girolamo et al., </w:t>
      </w:r>
      <w:r w:rsidR="00705B3E" w:rsidRPr="001433A9">
        <w:rPr>
          <w:noProof/>
          <w:color w:val="000000" w:themeColor="text1"/>
        </w:rPr>
        <w:t>2022</w:t>
      </w:r>
      <w:r w:rsidR="00FD1130" w:rsidRPr="001433A9">
        <w:rPr>
          <w:noProof/>
          <w:color w:val="000000" w:themeColor="text1"/>
        </w:rPr>
        <w:t>a, 2022c</w:t>
      </w:r>
      <w:r w:rsidRPr="001433A9">
        <w:rPr>
          <w:noProof/>
          <w:color w:val="000000" w:themeColor="text1"/>
        </w:rPr>
        <w:t>)</w:t>
      </w:r>
      <w:r w:rsidRPr="001433A9">
        <w:rPr>
          <w:color w:val="000000" w:themeColor="text1"/>
        </w:rPr>
        <w:t xml:space="preserve">. </w:t>
      </w:r>
      <w:r w:rsidR="00705B3E" w:rsidRPr="001433A9">
        <w:rPr>
          <w:color w:val="000000" w:themeColor="text1"/>
        </w:rPr>
        <w:t xml:space="preserve">Though </w:t>
      </w:r>
      <w:r w:rsidR="00286514" w:rsidRPr="001433A9">
        <w:rPr>
          <w:color w:val="000000" w:themeColor="text1"/>
        </w:rPr>
        <w:t>REM</w:t>
      </w:r>
      <w:r w:rsidR="00705B3E" w:rsidRPr="001433A9">
        <w:rPr>
          <w:color w:val="000000" w:themeColor="text1"/>
        </w:rPr>
        <w:t xml:space="preserve"> are the global majority, they</w:t>
      </w:r>
      <w:r w:rsidRPr="001433A9">
        <w:rPr>
          <w:color w:val="000000" w:themeColor="text1"/>
        </w:rPr>
        <w:t xml:space="preserve"> </w:t>
      </w:r>
      <w:r w:rsidR="003B79BD" w:rsidRPr="001433A9">
        <w:rPr>
          <w:color w:val="000000" w:themeColor="text1"/>
        </w:rPr>
        <w:t xml:space="preserve">may be less likely to enroll in research, and more likely to </w:t>
      </w:r>
      <w:r w:rsidRPr="001433A9">
        <w:rPr>
          <w:color w:val="000000" w:themeColor="text1"/>
        </w:rPr>
        <w:t xml:space="preserve">drop </w:t>
      </w:r>
      <w:r w:rsidR="003B79BD" w:rsidRPr="001433A9">
        <w:rPr>
          <w:color w:val="000000" w:themeColor="text1"/>
        </w:rPr>
        <w:t xml:space="preserve">out of </w:t>
      </w:r>
      <w:r w:rsidRPr="001433A9">
        <w:rPr>
          <w:color w:val="000000" w:themeColor="text1"/>
        </w:rPr>
        <w:t xml:space="preserve">studies post-enrollment, particularly if researchers are insufficiently culturally sensitive or responsive to known barriers to inclusivity, such as distrust of research by </w:t>
      </w:r>
      <w:r w:rsidR="00286514" w:rsidRPr="001433A9">
        <w:rPr>
          <w:color w:val="000000" w:themeColor="text1"/>
        </w:rPr>
        <w:t>REM</w:t>
      </w:r>
      <w:r w:rsidRPr="001433A9">
        <w:rPr>
          <w:color w:val="000000" w:themeColor="text1"/>
        </w:rPr>
        <w:t xml:space="preserve"> families with autistic children </w:t>
      </w:r>
      <w:r w:rsidRPr="001433A9">
        <w:rPr>
          <w:noProof/>
          <w:color w:val="000000" w:themeColor="text1"/>
        </w:rPr>
        <w:t>(Zamora et al., 2016)</w:t>
      </w:r>
      <w:r w:rsidRPr="001433A9">
        <w:rPr>
          <w:color w:val="000000" w:themeColor="text1"/>
        </w:rPr>
        <w:t xml:space="preserve">, as well as by </w:t>
      </w:r>
      <w:r w:rsidR="00286514" w:rsidRPr="001433A9">
        <w:rPr>
          <w:color w:val="000000" w:themeColor="text1"/>
        </w:rPr>
        <w:t>REM</w:t>
      </w:r>
      <w:r w:rsidRPr="001433A9">
        <w:rPr>
          <w:color w:val="000000" w:themeColor="text1"/>
        </w:rPr>
        <w:t xml:space="preserve"> individuals from the overall population </w:t>
      </w:r>
      <w:r w:rsidRPr="001433A9">
        <w:rPr>
          <w:noProof/>
          <w:color w:val="000000" w:themeColor="text1"/>
        </w:rPr>
        <w:t>(George et al., 2014)</w:t>
      </w:r>
      <w:r w:rsidRPr="001433A9">
        <w:rPr>
          <w:color w:val="000000" w:themeColor="text1"/>
        </w:rPr>
        <w:t xml:space="preserve">. </w:t>
      </w:r>
      <w:r w:rsidR="003B79BD" w:rsidRPr="001433A9">
        <w:rPr>
          <w:color w:val="000000" w:themeColor="text1"/>
        </w:rPr>
        <w:t>I</w:t>
      </w:r>
      <w:r w:rsidR="004E0E5B" w:rsidRPr="001433A9">
        <w:rPr>
          <w:color w:val="000000" w:themeColor="text1"/>
        </w:rPr>
        <w:t xml:space="preserve">nsufficient engagement in cultural reciprocity can cause harm in that researchers may be </w:t>
      </w:r>
      <w:r w:rsidR="004E0E5B" w:rsidRPr="001433A9">
        <w:rPr>
          <w:color w:val="000000" w:themeColor="text1"/>
        </w:rPr>
        <w:lastRenderedPageBreak/>
        <w:t xml:space="preserve">unaware of their positionality, how their positionality aligns with autistic REM, and how to appropriately acknowledge cultural differences (Malone et al., 2022). </w:t>
      </w:r>
      <w:r w:rsidRPr="001433A9">
        <w:rPr>
          <w:color w:val="000000" w:themeColor="text1"/>
        </w:rPr>
        <w:t>Thus, even when researchers make good faith attempt</w:t>
      </w:r>
      <w:r w:rsidR="00D3625D" w:rsidRPr="001433A9">
        <w:rPr>
          <w:color w:val="000000" w:themeColor="text1"/>
        </w:rPr>
        <w:t>s</w:t>
      </w:r>
      <w:r w:rsidRPr="001433A9">
        <w:rPr>
          <w:color w:val="000000" w:themeColor="text1"/>
        </w:rPr>
        <w:t xml:space="preserve"> to be inclusive, samples may be less diverse than is warranted by the population base. The convenience and success rates of less diverse samples </w:t>
      </w:r>
      <w:r w:rsidR="00D3625D" w:rsidRPr="001433A9">
        <w:rPr>
          <w:color w:val="000000" w:themeColor="text1"/>
        </w:rPr>
        <w:t>further</w:t>
      </w:r>
      <w:r w:rsidRPr="001433A9">
        <w:rPr>
          <w:color w:val="000000" w:themeColor="text1"/>
        </w:rPr>
        <w:t xml:space="preserve"> reify researcher assumptions about who is a “good” participant; together with underreporting, such assumptions can amplify the vicious cycle of who is</w:t>
      </w:r>
      <w:r w:rsidR="00286514" w:rsidRPr="001433A9">
        <w:rPr>
          <w:color w:val="000000" w:themeColor="text1"/>
        </w:rPr>
        <w:t xml:space="preserve"> </w:t>
      </w:r>
      <w:r w:rsidRPr="001433A9">
        <w:rPr>
          <w:color w:val="000000" w:themeColor="text1"/>
        </w:rPr>
        <w:t xml:space="preserve">identified as a prospective research participant </w:t>
      </w:r>
      <w:r w:rsidRPr="001433A9">
        <w:rPr>
          <w:noProof/>
          <w:color w:val="000000" w:themeColor="text1"/>
        </w:rPr>
        <w:t>(</w:t>
      </w:r>
      <w:r w:rsidR="00776F76" w:rsidRPr="001433A9">
        <w:rPr>
          <w:noProof/>
          <w:color w:val="000000" w:themeColor="text1"/>
        </w:rPr>
        <w:t>G</w:t>
      </w:r>
      <w:r w:rsidRPr="001433A9">
        <w:rPr>
          <w:noProof/>
          <w:color w:val="000000" w:themeColor="text1"/>
        </w:rPr>
        <w:t xml:space="preserve">irolamo et al., </w:t>
      </w:r>
      <w:r w:rsidR="006A517C" w:rsidRPr="001433A9">
        <w:rPr>
          <w:noProof/>
          <w:color w:val="000000" w:themeColor="text1"/>
        </w:rPr>
        <w:t>2022</w:t>
      </w:r>
      <w:r w:rsidR="00FD1130" w:rsidRPr="001433A9">
        <w:rPr>
          <w:noProof/>
          <w:color w:val="000000" w:themeColor="text1"/>
        </w:rPr>
        <w:t>a</w:t>
      </w:r>
      <w:r w:rsidRPr="001433A9">
        <w:rPr>
          <w:noProof/>
          <w:color w:val="000000" w:themeColor="text1"/>
        </w:rPr>
        <w:t>)</w:t>
      </w:r>
      <w:r w:rsidRPr="001433A9">
        <w:rPr>
          <w:color w:val="000000" w:themeColor="text1"/>
        </w:rPr>
        <w:t xml:space="preserve">. </w:t>
      </w:r>
    </w:p>
    <w:p w14:paraId="529EC8F6" w14:textId="77777777" w:rsidR="00C82253" w:rsidRPr="001433A9" w:rsidRDefault="00C82253" w:rsidP="00851E32">
      <w:pPr>
        <w:widowControl w:val="0"/>
        <w:spacing w:line="480" w:lineRule="auto"/>
        <w:rPr>
          <w:color w:val="000000" w:themeColor="text1"/>
        </w:rPr>
      </w:pPr>
      <w:r w:rsidRPr="001433A9">
        <w:rPr>
          <w:b/>
          <w:bCs/>
          <w:i/>
          <w:iCs/>
          <w:color w:val="000000" w:themeColor="text1"/>
        </w:rPr>
        <w:t>Clinical Implications</w:t>
      </w:r>
    </w:p>
    <w:p w14:paraId="67C700B7" w14:textId="3C72F5C0" w:rsidR="00D65FFE" w:rsidRPr="001433A9" w:rsidRDefault="004E0E5B" w:rsidP="004E0E5B">
      <w:pPr>
        <w:widowControl w:val="0"/>
        <w:spacing w:line="480" w:lineRule="auto"/>
        <w:ind w:firstLine="720"/>
        <w:rPr>
          <w:color w:val="000000" w:themeColor="text1"/>
        </w:rPr>
      </w:pPr>
      <w:r w:rsidRPr="001433A9">
        <w:rPr>
          <w:color w:val="000000" w:themeColor="text1"/>
        </w:rPr>
        <w:t>These theories and exclusion in research have</w:t>
      </w:r>
      <w:r w:rsidR="00C82253" w:rsidRPr="001433A9">
        <w:rPr>
          <w:color w:val="000000" w:themeColor="text1"/>
        </w:rPr>
        <w:t xml:space="preserve"> real-world implications. Under current diagnostic criteria, </w:t>
      </w:r>
      <w:r w:rsidR="00FA5742" w:rsidRPr="001433A9">
        <w:rPr>
          <w:color w:val="000000" w:themeColor="text1"/>
        </w:rPr>
        <w:t>which</w:t>
      </w:r>
      <w:r w:rsidR="00971B72" w:rsidRPr="001433A9">
        <w:rPr>
          <w:color w:val="000000" w:themeColor="text1"/>
        </w:rPr>
        <w:t xml:space="preserve"> </w:t>
      </w:r>
      <w:r w:rsidR="000524C8" w:rsidRPr="001433A9">
        <w:rPr>
          <w:color w:val="000000" w:themeColor="text1"/>
        </w:rPr>
        <w:t>serve as a gateway</w:t>
      </w:r>
      <w:r w:rsidR="00C03A64" w:rsidRPr="001433A9">
        <w:rPr>
          <w:color w:val="000000" w:themeColor="text1"/>
        </w:rPr>
        <w:t xml:space="preserve"> </w:t>
      </w:r>
      <w:r w:rsidR="00EB2792" w:rsidRPr="001433A9">
        <w:rPr>
          <w:color w:val="000000" w:themeColor="text1"/>
        </w:rPr>
        <w:t>to</w:t>
      </w:r>
      <w:r w:rsidR="00FA5742" w:rsidRPr="001433A9">
        <w:rPr>
          <w:color w:val="000000" w:themeColor="text1"/>
        </w:rPr>
        <w:t xml:space="preserve"> service</w:t>
      </w:r>
      <w:r w:rsidR="00EB2792" w:rsidRPr="001433A9">
        <w:rPr>
          <w:color w:val="000000" w:themeColor="text1"/>
        </w:rPr>
        <w:t>s</w:t>
      </w:r>
      <w:r w:rsidR="00FA5742" w:rsidRPr="001433A9">
        <w:rPr>
          <w:color w:val="000000" w:themeColor="text1"/>
        </w:rPr>
        <w:t xml:space="preserve">, </w:t>
      </w:r>
      <w:r w:rsidR="00C82253" w:rsidRPr="001433A9">
        <w:rPr>
          <w:color w:val="000000" w:themeColor="text1"/>
        </w:rPr>
        <w:t xml:space="preserve">while all autistic individuals have a social communication impairment, only some have co-occurring structural language difficulties, or LI </w:t>
      </w:r>
      <w:r w:rsidR="00C82253" w:rsidRPr="001433A9">
        <w:rPr>
          <w:noProof/>
          <w:color w:val="000000" w:themeColor="text1"/>
        </w:rPr>
        <w:t>(American Psychiatric Association, 2013)</w:t>
      </w:r>
      <w:r w:rsidR="00C82253" w:rsidRPr="001433A9">
        <w:rPr>
          <w:color w:val="000000" w:themeColor="text1"/>
        </w:rPr>
        <w:t xml:space="preserve">. Epidemiological studies of LI in non-autistic children </w:t>
      </w:r>
      <w:r w:rsidR="000524C8" w:rsidRPr="001433A9">
        <w:rPr>
          <w:color w:val="000000" w:themeColor="text1"/>
        </w:rPr>
        <w:t>speaking</w:t>
      </w:r>
      <w:r w:rsidR="00C82253" w:rsidRPr="001433A9">
        <w:rPr>
          <w:color w:val="000000" w:themeColor="text1"/>
        </w:rPr>
        <w:t xml:space="preserve"> </w:t>
      </w:r>
      <w:r w:rsidR="00D7484F" w:rsidRPr="001433A9">
        <w:rPr>
          <w:color w:val="000000" w:themeColor="text1"/>
        </w:rPr>
        <w:t>“mainstream</w:t>
      </w:r>
      <w:r w:rsidR="00C82253" w:rsidRPr="001433A9">
        <w:rPr>
          <w:color w:val="000000" w:themeColor="text1"/>
        </w:rPr>
        <w:t xml:space="preserve"> American English</w:t>
      </w:r>
      <w:r w:rsidR="00F2354A" w:rsidRPr="001433A9">
        <w:rPr>
          <w:color w:val="000000" w:themeColor="text1"/>
        </w:rPr>
        <w:t>”</w:t>
      </w:r>
      <w:r w:rsidR="00D7484F" w:rsidRPr="001433A9">
        <w:rPr>
          <w:color w:val="000000" w:themeColor="text1"/>
        </w:rPr>
        <w:t xml:space="preserve"> </w:t>
      </w:r>
      <w:r w:rsidR="00C82253" w:rsidRPr="001433A9">
        <w:rPr>
          <w:color w:val="000000" w:themeColor="text1"/>
        </w:rPr>
        <w:t>or British English</w:t>
      </w:r>
      <w:r w:rsidR="00D7484F" w:rsidRPr="001433A9">
        <w:rPr>
          <w:color w:val="000000" w:themeColor="text1"/>
        </w:rPr>
        <w:t xml:space="preserve"> </w:t>
      </w:r>
      <w:r w:rsidR="00C82253" w:rsidRPr="001433A9">
        <w:rPr>
          <w:color w:val="000000" w:themeColor="text1"/>
        </w:rPr>
        <w:t xml:space="preserve">have documented </w:t>
      </w:r>
      <w:r w:rsidR="00FA5742" w:rsidRPr="001433A9">
        <w:rPr>
          <w:color w:val="000000" w:themeColor="text1"/>
        </w:rPr>
        <w:t xml:space="preserve">differences </w:t>
      </w:r>
      <w:r w:rsidR="00C82253" w:rsidRPr="001433A9">
        <w:rPr>
          <w:color w:val="000000" w:themeColor="text1"/>
        </w:rPr>
        <w:t>in vocabulary, grammar, narration, overall comprehension, and overall production</w:t>
      </w:r>
      <w:r w:rsidR="00FA5742" w:rsidRPr="001433A9">
        <w:rPr>
          <w:color w:val="000000" w:themeColor="text1"/>
        </w:rPr>
        <w:t xml:space="preserve">, with cutoffs of -1.5 </w:t>
      </w:r>
      <w:r w:rsidR="00FA5742" w:rsidRPr="001433A9">
        <w:rPr>
          <w:i/>
          <w:iCs/>
          <w:color w:val="000000" w:themeColor="text1"/>
        </w:rPr>
        <w:t>SD</w:t>
      </w:r>
      <w:r w:rsidR="00C82253" w:rsidRPr="001433A9">
        <w:rPr>
          <w:color w:val="000000" w:themeColor="text1"/>
        </w:rPr>
        <w:t xml:space="preserve"> </w:t>
      </w:r>
      <w:r w:rsidR="00FA5742" w:rsidRPr="001433A9">
        <w:rPr>
          <w:color w:val="000000" w:themeColor="text1"/>
        </w:rPr>
        <w:t xml:space="preserve">and -1.25 </w:t>
      </w:r>
      <w:r w:rsidR="00FA5742" w:rsidRPr="001433A9">
        <w:rPr>
          <w:i/>
          <w:iCs/>
          <w:color w:val="000000" w:themeColor="text1"/>
        </w:rPr>
        <w:t xml:space="preserve">SD </w:t>
      </w:r>
      <w:r w:rsidR="00FA5742" w:rsidRPr="001433A9">
        <w:rPr>
          <w:color w:val="000000" w:themeColor="text1"/>
        </w:rPr>
        <w:t xml:space="preserve">on age-referenced language tests with continuous scores </w:t>
      </w:r>
      <w:r w:rsidR="00C82253" w:rsidRPr="001433A9">
        <w:rPr>
          <w:noProof/>
          <w:color w:val="000000" w:themeColor="text1"/>
        </w:rPr>
        <w:t>(Norbury et al., 2016</w:t>
      </w:r>
      <w:r w:rsidR="00FA5742" w:rsidRPr="001433A9">
        <w:rPr>
          <w:noProof/>
          <w:color w:val="000000" w:themeColor="text1"/>
        </w:rPr>
        <w:t xml:space="preserve">; </w:t>
      </w:r>
      <w:r w:rsidR="00C82253" w:rsidRPr="001433A9">
        <w:rPr>
          <w:noProof/>
          <w:color w:val="000000" w:themeColor="text1"/>
        </w:rPr>
        <w:t>Tomblin et al., 1997; Tomblin et al., 1996)</w:t>
      </w:r>
      <w:r w:rsidR="00C82253" w:rsidRPr="001433A9">
        <w:rPr>
          <w:color w:val="000000" w:themeColor="text1"/>
        </w:rPr>
        <w:t xml:space="preserve">. However, </w:t>
      </w:r>
      <w:r w:rsidR="00C82253" w:rsidRPr="001433A9">
        <w:rPr>
          <w:noProof/>
          <w:color w:val="000000" w:themeColor="text1"/>
        </w:rPr>
        <w:t>Tomblin et al. (1997)</w:t>
      </w:r>
      <w:r w:rsidR="00C82253" w:rsidRPr="001433A9">
        <w:rPr>
          <w:color w:val="000000" w:themeColor="text1"/>
        </w:rPr>
        <w:t xml:space="preserve"> reported a primarily white sample, and </w:t>
      </w:r>
      <w:r w:rsidR="00C82253" w:rsidRPr="001433A9">
        <w:rPr>
          <w:noProof/>
          <w:color w:val="000000" w:themeColor="text1"/>
        </w:rPr>
        <w:t>Norbury et al. (2016)</w:t>
      </w:r>
      <w:r w:rsidR="00C82253" w:rsidRPr="001433A9">
        <w:rPr>
          <w:color w:val="000000" w:themeColor="text1"/>
        </w:rPr>
        <w:t xml:space="preserve"> reported no information on race or ethnicity. </w:t>
      </w:r>
      <w:r w:rsidR="00D7484F" w:rsidRPr="001433A9">
        <w:rPr>
          <w:color w:val="000000" w:themeColor="text1"/>
        </w:rPr>
        <w:t xml:space="preserve">In addition, </w:t>
      </w:r>
      <w:r w:rsidR="006D30F4" w:rsidRPr="001433A9">
        <w:rPr>
          <w:color w:val="000000" w:themeColor="text1"/>
        </w:rPr>
        <w:t>given the</w:t>
      </w:r>
      <w:r w:rsidR="00AA72AC" w:rsidRPr="001433A9">
        <w:rPr>
          <w:color w:val="000000" w:themeColor="text1"/>
        </w:rPr>
        <w:t xml:space="preserve"> many</w:t>
      </w:r>
      <w:r w:rsidR="00D7484F" w:rsidRPr="001433A9">
        <w:rPr>
          <w:color w:val="000000" w:themeColor="text1"/>
        </w:rPr>
        <w:t xml:space="preserve"> variants</w:t>
      </w:r>
      <w:r w:rsidR="006D30F4" w:rsidRPr="001433A9">
        <w:rPr>
          <w:color w:val="000000" w:themeColor="text1"/>
        </w:rPr>
        <w:t xml:space="preserve"> of a given language (e.g., there are a</w:t>
      </w:r>
      <w:r w:rsidR="00D7484F" w:rsidRPr="001433A9">
        <w:rPr>
          <w:color w:val="000000" w:themeColor="text1"/>
        </w:rPr>
        <w:t>t least 25 variants of American English</w:t>
      </w:r>
      <w:r w:rsidR="00C1166C" w:rsidRPr="001433A9">
        <w:rPr>
          <w:color w:val="000000" w:themeColor="text1"/>
        </w:rPr>
        <w:t xml:space="preserve"> alone</w:t>
      </w:r>
      <w:r w:rsidR="006D30F4" w:rsidRPr="001433A9">
        <w:rPr>
          <w:color w:val="000000" w:themeColor="text1"/>
        </w:rPr>
        <w:t xml:space="preserve">; </w:t>
      </w:r>
      <w:r w:rsidR="00D7484F" w:rsidRPr="001433A9">
        <w:rPr>
          <w:color w:val="000000" w:themeColor="text1"/>
        </w:rPr>
        <w:t xml:space="preserve">Wolfram &amp; Ward, 2006), it is unclear to what extent age-referenced </w:t>
      </w:r>
      <w:r w:rsidR="00FD1130" w:rsidRPr="001433A9">
        <w:rPr>
          <w:color w:val="000000" w:themeColor="text1"/>
        </w:rPr>
        <w:t xml:space="preserve">language </w:t>
      </w:r>
      <w:r w:rsidRPr="001433A9">
        <w:rPr>
          <w:color w:val="000000" w:themeColor="text1"/>
        </w:rPr>
        <w:t>test norming samples</w:t>
      </w:r>
      <w:r w:rsidR="00D7484F" w:rsidRPr="001433A9">
        <w:rPr>
          <w:color w:val="000000" w:themeColor="text1"/>
        </w:rPr>
        <w:t xml:space="preserve"> </w:t>
      </w:r>
      <w:r w:rsidR="00FD1130" w:rsidRPr="001433A9">
        <w:rPr>
          <w:color w:val="000000" w:themeColor="text1"/>
        </w:rPr>
        <w:t>are representative of intersectional</w:t>
      </w:r>
      <w:r w:rsidRPr="001433A9">
        <w:rPr>
          <w:color w:val="000000" w:themeColor="text1"/>
        </w:rPr>
        <w:t xml:space="preserve"> </w:t>
      </w:r>
      <w:r w:rsidR="00FD1130" w:rsidRPr="001433A9">
        <w:rPr>
          <w:color w:val="000000" w:themeColor="text1"/>
        </w:rPr>
        <w:t>identities</w:t>
      </w:r>
      <w:r w:rsidR="00F2354A" w:rsidRPr="001433A9">
        <w:rPr>
          <w:color w:val="000000" w:themeColor="text1"/>
        </w:rPr>
        <w:t>, such as autistic REM with LI,</w:t>
      </w:r>
      <w:r w:rsidRPr="001433A9">
        <w:rPr>
          <w:color w:val="000000" w:themeColor="text1"/>
        </w:rPr>
        <w:t xml:space="preserve"> and </w:t>
      </w:r>
      <w:r w:rsidR="00F2354A" w:rsidRPr="001433A9">
        <w:rPr>
          <w:color w:val="000000" w:themeColor="text1"/>
        </w:rPr>
        <w:t>sociocultural variability</w:t>
      </w:r>
      <w:r w:rsidR="00D7484F" w:rsidRPr="001433A9">
        <w:rPr>
          <w:color w:val="000000" w:themeColor="text1"/>
        </w:rPr>
        <w:t xml:space="preserve"> (Girolamo et al., </w:t>
      </w:r>
      <w:r w:rsidR="002A70E9" w:rsidRPr="001433A9">
        <w:rPr>
          <w:color w:val="000000" w:themeColor="text1"/>
        </w:rPr>
        <w:t>2022b</w:t>
      </w:r>
      <w:r w:rsidR="00D7484F" w:rsidRPr="001433A9">
        <w:rPr>
          <w:color w:val="000000" w:themeColor="text1"/>
        </w:rPr>
        <w:t>).</w:t>
      </w:r>
      <w:r w:rsidR="002A70E9" w:rsidRPr="001433A9">
        <w:rPr>
          <w:color w:val="000000" w:themeColor="text1"/>
        </w:rPr>
        <w:t xml:space="preserve"> Ideally, clinicians and scientists </w:t>
      </w:r>
      <w:r w:rsidR="000778C9" w:rsidRPr="001433A9">
        <w:rPr>
          <w:color w:val="000000" w:themeColor="text1"/>
        </w:rPr>
        <w:t>carefully</w:t>
      </w:r>
      <w:r w:rsidR="002A70E9" w:rsidRPr="001433A9">
        <w:rPr>
          <w:color w:val="000000" w:themeColor="text1"/>
        </w:rPr>
        <w:t xml:space="preserve"> interpret normative information for assessments and make decisions about </w:t>
      </w:r>
      <w:r w:rsidR="006D30F4" w:rsidRPr="001433A9">
        <w:rPr>
          <w:color w:val="000000" w:themeColor="text1"/>
        </w:rPr>
        <w:t xml:space="preserve">the </w:t>
      </w:r>
      <w:r w:rsidR="002A70E9" w:rsidRPr="001433A9">
        <w:rPr>
          <w:color w:val="000000" w:themeColor="text1"/>
        </w:rPr>
        <w:t>applica</w:t>
      </w:r>
      <w:r w:rsidR="006D30F4" w:rsidRPr="001433A9">
        <w:rPr>
          <w:color w:val="000000" w:themeColor="text1"/>
        </w:rPr>
        <w:t xml:space="preserve">bility of a given measure </w:t>
      </w:r>
      <w:r w:rsidR="000778C9" w:rsidRPr="001433A9">
        <w:rPr>
          <w:color w:val="000000" w:themeColor="text1"/>
        </w:rPr>
        <w:t>for their participants</w:t>
      </w:r>
      <w:r w:rsidR="00E27DBD" w:rsidRPr="001433A9">
        <w:rPr>
          <w:color w:val="000000" w:themeColor="text1"/>
        </w:rPr>
        <w:t xml:space="preserve"> from an intersectional lens</w:t>
      </w:r>
      <w:r w:rsidR="00E06B1F" w:rsidRPr="001433A9">
        <w:rPr>
          <w:color w:val="000000" w:themeColor="text1"/>
        </w:rPr>
        <w:t xml:space="preserve">, </w:t>
      </w:r>
      <w:r w:rsidR="00A50EDA" w:rsidRPr="001433A9">
        <w:rPr>
          <w:color w:val="000000" w:themeColor="text1"/>
        </w:rPr>
        <w:lastRenderedPageBreak/>
        <w:t xml:space="preserve">knowing that </w:t>
      </w:r>
      <w:r w:rsidR="00E06B1F" w:rsidRPr="001433A9">
        <w:rPr>
          <w:color w:val="000000" w:themeColor="text1"/>
        </w:rPr>
        <w:t>perceived race and ethnicity may not correspond to language background</w:t>
      </w:r>
      <w:r w:rsidR="002A70E9" w:rsidRPr="001433A9">
        <w:rPr>
          <w:color w:val="000000" w:themeColor="text1"/>
        </w:rPr>
        <w:t xml:space="preserve">. At the same time, </w:t>
      </w:r>
      <w:r w:rsidR="00851E32" w:rsidRPr="001433A9">
        <w:rPr>
          <w:color w:val="000000" w:themeColor="text1"/>
        </w:rPr>
        <w:t>language research tends to</w:t>
      </w:r>
      <w:r w:rsidR="00C41066" w:rsidRPr="001433A9">
        <w:rPr>
          <w:color w:val="000000" w:themeColor="text1"/>
        </w:rPr>
        <w:t xml:space="preserve"> reify </w:t>
      </w:r>
      <w:r w:rsidR="00851E32" w:rsidRPr="001433A9">
        <w:rPr>
          <w:color w:val="000000" w:themeColor="text1"/>
        </w:rPr>
        <w:t>General American English as the norm by failing to specify it is a variant while treating other variants as “dialects” (Oetting, 2020)</w:t>
      </w:r>
      <w:r w:rsidR="00E27DBD" w:rsidRPr="001433A9">
        <w:rPr>
          <w:color w:val="000000" w:themeColor="text1"/>
        </w:rPr>
        <w:t>; this approach runs counter to an intersectional and DisCrit framework</w:t>
      </w:r>
      <w:r w:rsidR="00851E32" w:rsidRPr="001433A9">
        <w:rPr>
          <w:color w:val="000000" w:themeColor="text1"/>
        </w:rPr>
        <w:t xml:space="preserve">. Consequently, </w:t>
      </w:r>
      <w:r w:rsidR="00C82253" w:rsidRPr="001433A9">
        <w:rPr>
          <w:color w:val="000000" w:themeColor="text1"/>
        </w:rPr>
        <w:t xml:space="preserve">findings on LI in non-autistic children may not </w:t>
      </w:r>
      <w:r w:rsidR="00851E32" w:rsidRPr="001433A9">
        <w:rPr>
          <w:color w:val="000000" w:themeColor="text1"/>
        </w:rPr>
        <w:t xml:space="preserve">broadly </w:t>
      </w:r>
      <w:r w:rsidR="002A70E9" w:rsidRPr="001433A9">
        <w:rPr>
          <w:color w:val="000000" w:themeColor="text1"/>
        </w:rPr>
        <w:t>generaliz</w:t>
      </w:r>
      <w:r w:rsidR="00851E32" w:rsidRPr="001433A9">
        <w:rPr>
          <w:color w:val="000000" w:themeColor="text1"/>
        </w:rPr>
        <w:t>e</w:t>
      </w:r>
      <w:r w:rsidR="00A56712" w:rsidRPr="001433A9">
        <w:rPr>
          <w:color w:val="000000" w:themeColor="text1"/>
        </w:rPr>
        <w:t xml:space="preserve"> </w:t>
      </w:r>
      <w:r w:rsidR="00851E32" w:rsidRPr="001433A9">
        <w:rPr>
          <w:color w:val="000000" w:themeColor="text1"/>
        </w:rPr>
        <w:t xml:space="preserve">to </w:t>
      </w:r>
      <w:r w:rsidR="00A50EDA" w:rsidRPr="001433A9">
        <w:rPr>
          <w:color w:val="000000" w:themeColor="text1"/>
        </w:rPr>
        <w:t>the full</w:t>
      </w:r>
      <w:r w:rsidR="00851E32" w:rsidRPr="001433A9">
        <w:rPr>
          <w:color w:val="000000" w:themeColor="text1"/>
        </w:rPr>
        <w:t xml:space="preserve"> autistic population and </w:t>
      </w:r>
      <w:r w:rsidR="00A50EDA" w:rsidRPr="001433A9">
        <w:rPr>
          <w:color w:val="000000" w:themeColor="text1"/>
        </w:rPr>
        <w:t xml:space="preserve">amplify the </w:t>
      </w:r>
      <w:r w:rsidR="00851E32" w:rsidRPr="001433A9">
        <w:rPr>
          <w:color w:val="000000" w:themeColor="text1"/>
        </w:rPr>
        <w:t>minoritization of autistic REM</w:t>
      </w:r>
      <w:r w:rsidR="002A70E9" w:rsidRPr="001433A9">
        <w:rPr>
          <w:color w:val="000000" w:themeColor="text1"/>
        </w:rPr>
        <w:t>.</w:t>
      </w:r>
    </w:p>
    <w:p w14:paraId="400453E7" w14:textId="29E0C0CC" w:rsidR="003E1158" w:rsidRPr="001433A9" w:rsidRDefault="00A50EDA" w:rsidP="00851E32">
      <w:pPr>
        <w:widowControl w:val="0"/>
        <w:spacing w:line="480" w:lineRule="auto"/>
        <w:ind w:firstLine="720"/>
        <w:rPr>
          <w:color w:val="000000" w:themeColor="text1"/>
        </w:rPr>
      </w:pPr>
      <w:r w:rsidRPr="001433A9">
        <w:rPr>
          <w:color w:val="000000" w:themeColor="text1"/>
        </w:rPr>
        <w:t>Clearly</w:t>
      </w:r>
      <w:r w:rsidR="00D65FFE" w:rsidRPr="001433A9">
        <w:rPr>
          <w:color w:val="000000" w:themeColor="text1"/>
        </w:rPr>
        <w:t xml:space="preserve">, </w:t>
      </w:r>
      <w:r w:rsidR="00851E32" w:rsidRPr="001433A9">
        <w:rPr>
          <w:color w:val="000000" w:themeColor="text1"/>
        </w:rPr>
        <w:t>minoritization play</w:t>
      </w:r>
      <w:r w:rsidR="00F2354A" w:rsidRPr="001433A9">
        <w:rPr>
          <w:color w:val="000000" w:themeColor="text1"/>
        </w:rPr>
        <w:t>s</w:t>
      </w:r>
      <w:r w:rsidR="00851E32" w:rsidRPr="001433A9">
        <w:rPr>
          <w:color w:val="000000" w:themeColor="text1"/>
        </w:rPr>
        <w:t xml:space="preserve"> out at the intersection of race and dis/ability. T</w:t>
      </w:r>
      <w:r w:rsidR="00133735" w:rsidRPr="001433A9">
        <w:rPr>
          <w:color w:val="000000" w:themeColor="text1"/>
        </w:rPr>
        <w:t xml:space="preserve">hough autism has an estimated prevalence of one in 44 that is similar across racial and ethnic groups, Hispanic/Latinx children are less likely to receive a timely diagnosis (Maenner et al., 2021). Further, Black and Hispanic/Latinx autistic children without intellectual disability are less likely than white </w:t>
      </w:r>
      <w:r w:rsidR="004D4553" w:rsidRPr="001433A9">
        <w:rPr>
          <w:color w:val="000000" w:themeColor="text1"/>
        </w:rPr>
        <w:t xml:space="preserve">autistic </w:t>
      </w:r>
      <w:r w:rsidR="00133735" w:rsidRPr="001433A9">
        <w:rPr>
          <w:color w:val="000000" w:themeColor="text1"/>
        </w:rPr>
        <w:t xml:space="preserve">peers to receive a diagnosis at all (Shaw et al.; Shenouda et al., 2021). </w:t>
      </w:r>
      <w:r w:rsidR="004D4553" w:rsidRPr="001433A9">
        <w:rPr>
          <w:color w:val="000000" w:themeColor="text1"/>
        </w:rPr>
        <w:t>Given that</w:t>
      </w:r>
      <w:r w:rsidR="003E1158" w:rsidRPr="001433A9">
        <w:rPr>
          <w:color w:val="000000" w:themeColor="text1"/>
        </w:rPr>
        <w:t xml:space="preserve"> receiving a formal diagnosis is </w:t>
      </w:r>
      <w:r w:rsidR="004D4553" w:rsidRPr="001433A9">
        <w:rPr>
          <w:color w:val="000000" w:themeColor="text1"/>
        </w:rPr>
        <w:t xml:space="preserve">often </w:t>
      </w:r>
      <w:r w:rsidR="003E1158" w:rsidRPr="001433A9">
        <w:rPr>
          <w:color w:val="000000" w:themeColor="text1"/>
        </w:rPr>
        <w:t xml:space="preserve">a prerequisite for </w:t>
      </w:r>
      <w:r w:rsidR="00810FC5" w:rsidRPr="001433A9">
        <w:rPr>
          <w:color w:val="000000" w:themeColor="text1"/>
        </w:rPr>
        <w:t>access to</w:t>
      </w:r>
      <w:r w:rsidR="003E1158" w:rsidRPr="001433A9">
        <w:rPr>
          <w:color w:val="000000" w:themeColor="text1"/>
        </w:rPr>
        <w:t xml:space="preserve"> supports (Selin et al., 2022), these childhood </w:t>
      </w:r>
      <w:r w:rsidR="008E4FD0" w:rsidRPr="001433A9">
        <w:rPr>
          <w:color w:val="000000" w:themeColor="text1"/>
        </w:rPr>
        <w:t>inequities</w:t>
      </w:r>
      <w:r w:rsidR="003E1158" w:rsidRPr="001433A9">
        <w:rPr>
          <w:color w:val="000000" w:themeColor="text1"/>
        </w:rPr>
        <w:t xml:space="preserve"> can have long-term effects.</w:t>
      </w:r>
      <w:r w:rsidR="00037E3B" w:rsidRPr="001433A9">
        <w:rPr>
          <w:color w:val="000000" w:themeColor="text1"/>
        </w:rPr>
        <w:t xml:space="preserve"> </w:t>
      </w:r>
    </w:p>
    <w:p w14:paraId="30907397" w14:textId="14A7ECE5" w:rsidR="00C82253" w:rsidRPr="001433A9" w:rsidRDefault="004B461D" w:rsidP="00810FC5">
      <w:pPr>
        <w:widowControl w:val="0"/>
        <w:spacing w:line="480" w:lineRule="auto"/>
        <w:ind w:firstLine="720"/>
        <w:rPr>
          <w:b/>
          <w:bCs/>
          <w:color w:val="000000" w:themeColor="text1"/>
        </w:rPr>
      </w:pPr>
      <w:r w:rsidRPr="001433A9">
        <w:rPr>
          <w:color w:val="000000" w:themeColor="text1"/>
        </w:rPr>
        <w:t xml:space="preserve">Amid these disparities, it is important to note </w:t>
      </w:r>
      <w:r w:rsidR="00810FC5" w:rsidRPr="001433A9">
        <w:rPr>
          <w:color w:val="000000" w:themeColor="text1"/>
        </w:rPr>
        <w:t xml:space="preserve">that </w:t>
      </w:r>
      <w:r w:rsidRPr="001433A9">
        <w:rPr>
          <w:color w:val="000000" w:themeColor="text1"/>
        </w:rPr>
        <w:t>a</w:t>
      </w:r>
      <w:r w:rsidR="003E1158" w:rsidRPr="001433A9">
        <w:rPr>
          <w:color w:val="000000" w:themeColor="text1"/>
        </w:rPr>
        <w:t>n</w:t>
      </w:r>
      <w:r w:rsidR="00133735" w:rsidRPr="001433A9">
        <w:rPr>
          <w:color w:val="000000" w:themeColor="text1"/>
        </w:rPr>
        <w:t xml:space="preserve"> absence of evidence of disparities for some racial and ethnic groups does not mean </w:t>
      </w:r>
      <w:r w:rsidR="00A2441E" w:rsidRPr="001433A9">
        <w:rPr>
          <w:color w:val="000000" w:themeColor="text1"/>
        </w:rPr>
        <w:t>disparities do not exist</w:t>
      </w:r>
      <w:r w:rsidRPr="001433A9">
        <w:rPr>
          <w:color w:val="000000" w:themeColor="text1"/>
        </w:rPr>
        <w:t xml:space="preserve">. </w:t>
      </w:r>
      <w:r w:rsidR="005B0EBD" w:rsidRPr="001433A9">
        <w:rPr>
          <w:color w:val="000000" w:themeColor="text1"/>
        </w:rPr>
        <w:t>Some large</w:t>
      </w:r>
      <w:r w:rsidR="00A2441E" w:rsidRPr="001433A9">
        <w:rPr>
          <w:color w:val="000000" w:themeColor="text1"/>
        </w:rPr>
        <w:t>-</w:t>
      </w:r>
      <w:r w:rsidR="005B0EBD" w:rsidRPr="001433A9">
        <w:rPr>
          <w:color w:val="000000" w:themeColor="text1"/>
        </w:rPr>
        <w:t>sample s</w:t>
      </w:r>
      <w:r w:rsidR="00133735" w:rsidRPr="001433A9">
        <w:rPr>
          <w:color w:val="000000" w:themeColor="text1"/>
        </w:rPr>
        <w:t>tudies</w:t>
      </w:r>
      <w:r w:rsidRPr="001433A9">
        <w:rPr>
          <w:color w:val="000000" w:themeColor="text1"/>
        </w:rPr>
        <w:t xml:space="preserve"> only examine non-Hispanic Black, non-Hispanic white, and Hispanic children and </w:t>
      </w:r>
      <w:r w:rsidR="00133735" w:rsidRPr="001433A9">
        <w:rPr>
          <w:color w:val="000000" w:themeColor="text1"/>
        </w:rPr>
        <w:t>exclude</w:t>
      </w:r>
      <w:r w:rsidRPr="001433A9">
        <w:rPr>
          <w:color w:val="000000" w:themeColor="text1"/>
        </w:rPr>
        <w:t xml:space="preserve"> other</w:t>
      </w:r>
      <w:r w:rsidR="00133735" w:rsidRPr="001433A9">
        <w:rPr>
          <w:color w:val="000000" w:themeColor="text1"/>
        </w:rPr>
        <w:t xml:space="preserve"> </w:t>
      </w:r>
      <w:r w:rsidR="004A74E7" w:rsidRPr="001433A9">
        <w:rPr>
          <w:color w:val="000000" w:themeColor="text1"/>
        </w:rPr>
        <w:t xml:space="preserve">racial and ethnic </w:t>
      </w:r>
      <w:r w:rsidR="00133735" w:rsidRPr="001433A9">
        <w:rPr>
          <w:color w:val="000000" w:themeColor="text1"/>
        </w:rPr>
        <w:t>groups</w:t>
      </w:r>
      <w:r w:rsidR="00810FC5" w:rsidRPr="001433A9">
        <w:rPr>
          <w:color w:val="000000" w:themeColor="text1"/>
        </w:rPr>
        <w:t xml:space="preserve"> (e.g., Asian and Pacific Islander</w:t>
      </w:r>
      <w:r w:rsidR="001B4C71" w:rsidRPr="001433A9">
        <w:rPr>
          <w:color w:val="000000" w:themeColor="text1"/>
        </w:rPr>
        <w:t>,</w:t>
      </w:r>
      <w:r w:rsidR="00810FC5" w:rsidRPr="001433A9">
        <w:rPr>
          <w:color w:val="000000" w:themeColor="text1"/>
        </w:rPr>
        <w:t xml:space="preserve"> Native American and Indigenous individuals)</w:t>
      </w:r>
      <w:r w:rsidR="00133735" w:rsidRPr="001433A9">
        <w:rPr>
          <w:color w:val="000000" w:themeColor="text1"/>
        </w:rPr>
        <w:t xml:space="preserve"> </w:t>
      </w:r>
      <w:r w:rsidRPr="001433A9">
        <w:rPr>
          <w:color w:val="000000" w:themeColor="text1"/>
        </w:rPr>
        <w:t>due to small numbers</w:t>
      </w:r>
      <w:r w:rsidR="002F1666" w:rsidRPr="001433A9">
        <w:rPr>
          <w:color w:val="000000" w:themeColor="text1"/>
        </w:rPr>
        <w:t>; these</w:t>
      </w:r>
      <w:r w:rsidR="009B3140" w:rsidRPr="001433A9">
        <w:rPr>
          <w:b/>
          <w:bCs/>
          <w:color w:val="000000" w:themeColor="text1"/>
        </w:rPr>
        <w:t xml:space="preserve"> </w:t>
      </w:r>
      <w:r w:rsidR="002F1666" w:rsidRPr="001433A9">
        <w:rPr>
          <w:color w:val="000000" w:themeColor="text1"/>
        </w:rPr>
        <w:t xml:space="preserve">studies </w:t>
      </w:r>
      <w:r w:rsidR="00B01BF2" w:rsidRPr="001433A9">
        <w:rPr>
          <w:color w:val="000000" w:themeColor="text1"/>
        </w:rPr>
        <w:t xml:space="preserve">often fail to </w:t>
      </w:r>
      <w:r w:rsidR="002F1666" w:rsidRPr="001433A9">
        <w:rPr>
          <w:color w:val="000000" w:themeColor="text1"/>
        </w:rPr>
        <w:t xml:space="preserve">list </w:t>
      </w:r>
      <w:r w:rsidR="00B01BF2" w:rsidRPr="001433A9">
        <w:rPr>
          <w:color w:val="000000" w:themeColor="text1"/>
        </w:rPr>
        <w:t>this</w:t>
      </w:r>
      <w:r w:rsidR="002F1666" w:rsidRPr="001433A9">
        <w:rPr>
          <w:color w:val="000000" w:themeColor="text1"/>
        </w:rPr>
        <w:t xml:space="preserve"> as a limitation </w:t>
      </w:r>
      <w:r w:rsidRPr="001433A9">
        <w:rPr>
          <w:color w:val="000000" w:themeColor="text1"/>
        </w:rPr>
        <w:t>(Shaw et al., 2021; Shenouda et al., 2021)</w:t>
      </w:r>
      <w:r w:rsidR="00133735" w:rsidRPr="001433A9">
        <w:rPr>
          <w:color w:val="000000" w:themeColor="text1"/>
        </w:rPr>
        <w:t>.</w:t>
      </w:r>
      <w:r w:rsidR="003E1158" w:rsidRPr="001433A9">
        <w:rPr>
          <w:color w:val="000000" w:themeColor="text1"/>
        </w:rPr>
        <w:t xml:space="preserve"> </w:t>
      </w:r>
      <w:r w:rsidR="00813BEE" w:rsidRPr="001433A9">
        <w:rPr>
          <w:color w:val="000000" w:themeColor="text1"/>
        </w:rPr>
        <w:t>Such</w:t>
      </w:r>
      <w:r w:rsidR="00F0207D" w:rsidRPr="001433A9">
        <w:rPr>
          <w:color w:val="000000" w:themeColor="text1"/>
        </w:rPr>
        <w:t xml:space="preserve"> erasure </w:t>
      </w:r>
      <w:r w:rsidR="003E1158" w:rsidRPr="001433A9">
        <w:rPr>
          <w:color w:val="000000" w:themeColor="text1"/>
        </w:rPr>
        <w:t>hinder</w:t>
      </w:r>
      <w:r w:rsidR="00F0207D" w:rsidRPr="001433A9">
        <w:rPr>
          <w:color w:val="000000" w:themeColor="text1"/>
        </w:rPr>
        <w:t>s</w:t>
      </w:r>
      <w:r w:rsidR="003E1158" w:rsidRPr="001433A9">
        <w:rPr>
          <w:color w:val="000000" w:themeColor="text1"/>
        </w:rPr>
        <w:t xml:space="preserve"> </w:t>
      </w:r>
      <w:r w:rsidR="00B01BF2" w:rsidRPr="001433A9">
        <w:rPr>
          <w:color w:val="000000" w:themeColor="text1"/>
        </w:rPr>
        <w:t xml:space="preserve">our </w:t>
      </w:r>
      <w:r w:rsidR="003E1158" w:rsidRPr="001433A9">
        <w:rPr>
          <w:color w:val="000000" w:themeColor="text1"/>
        </w:rPr>
        <w:t>understanding of sociocultural variability in autism (Durkin et al., 2015)</w:t>
      </w:r>
      <w:r w:rsidR="00FC3EED" w:rsidRPr="001433A9">
        <w:rPr>
          <w:color w:val="000000" w:themeColor="text1"/>
        </w:rPr>
        <w:t>,</w:t>
      </w:r>
      <w:r w:rsidR="003E1158" w:rsidRPr="001433A9">
        <w:rPr>
          <w:color w:val="000000" w:themeColor="text1"/>
        </w:rPr>
        <w:t xml:space="preserve"> </w:t>
      </w:r>
      <w:r w:rsidR="001B4C71" w:rsidRPr="001433A9">
        <w:rPr>
          <w:color w:val="000000" w:themeColor="text1"/>
        </w:rPr>
        <w:t>and informs colorblindness due to perceived differences in individuals who are not the white, neurotypical “norm” (Annamma et al., 2017). Consequently,</w:t>
      </w:r>
      <w:r w:rsidR="003E1158" w:rsidRPr="001433A9">
        <w:rPr>
          <w:color w:val="000000" w:themeColor="text1"/>
        </w:rPr>
        <w:t xml:space="preserve"> development of diagnostic criteria and practices arise from a biased evidence base. </w:t>
      </w:r>
      <w:r w:rsidR="00810FC5" w:rsidRPr="001433A9">
        <w:rPr>
          <w:color w:val="000000" w:themeColor="text1"/>
        </w:rPr>
        <w:t>In this way</w:t>
      </w:r>
      <w:r w:rsidR="008124E5" w:rsidRPr="001433A9">
        <w:rPr>
          <w:color w:val="000000" w:themeColor="text1"/>
        </w:rPr>
        <w:t>,</w:t>
      </w:r>
      <w:r w:rsidR="009B2511" w:rsidRPr="001433A9">
        <w:rPr>
          <w:color w:val="000000" w:themeColor="text1"/>
        </w:rPr>
        <w:t xml:space="preserve"> </w:t>
      </w:r>
      <w:r w:rsidR="00810FC5" w:rsidRPr="001433A9">
        <w:rPr>
          <w:color w:val="000000" w:themeColor="text1"/>
        </w:rPr>
        <w:t>there is</w:t>
      </w:r>
      <w:r w:rsidR="004A74E7" w:rsidRPr="001433A9">
        <w:rPr>
          <w:color w:val="000000" w:themeColor="text1"/>
        </w:rPr>
        <w:t xml:space="preserve"> </w:t>
      </w:r>
      <w:r w:rsidR="00810FC5" w:rsidRPr="001433A9">
        <w:rPr>
          <w:color w:val="000000" w:themeColor="text1"/>
        </w:rPr>
        <w:t>motivation to</w:t>
      </w:r>
      <w:r w:rsidR="004A74E7" w:rsidRPr="001433A9">
        <w:rPr>
          <w:color w:val="000000" w:themeColor="text1"/>
        </w:rPr>
        <w:t xml:space="preserve"> </w:t>
      </w:r>
      <w:r w:rsidR="00D44B00" w:rsidRPr="001433A9">
        <w:rPr>
          <w:color w:val="000000" w:themeColor="text1"/>
        </w:rPr>
        <w:t>examin</w:t>
      </w:r>
      <w:r w:rsidR="00810FC5" w:rsidRPr="001433A9">
        <w:rPr>
          <w:color w:val="000000" w:themeColor="text1"/>
        </w:rPr>
        <w:t xml:space="preserve">e </w:t>
      </w:r>
      <w:r w:rsidR="00AE015E" w:rsidRPr="001433A9">
        <w:rPr>
          <w:color w:val="000000" w:themeColor="text1"/>
        </w:rPr>
        <w:t xml:space="preserve">the extent of sociodemographic </w:t>
      </w:r>
      <w:r w:rsidR="00AE015E" w:rsidRPr="001433A9">
        <w:rPr>
          <w:color w:val="000000" w:themeColor="text1"/>
        </w:rPr>
        <w:lastRenderedPageBreak/>
        <w:t>exclusion</w:t>
      </w:r>
      <w:r w:rsidR="00D44B00" w:rsidRPr="001433A9">
        <w:rPr>
          <w:color w:val="000000" w:themeColor="text1"/>
        </w:rPr>
        <w:t xml:space="preserve"> i</w:t>
      </w:r>
      <w:r w:rsidR="004A74E7" w:rsidRPr="001433A9">
        <w:rPr>
          <w:color w:val="000000" w:themeColor="text1"/>
        </w:rPr>
        <w:t xml:space="preserve">n language </w:t>
      </w:r>
      <w:r w:rsidR="00D44B00" w:rsidRPr="001433A9">
        <w:rPr>
          <w:color w:val="000000" w:themeColor="text1"/>
        </w:rPr>
        <w:t xml:space="preserve">in autism </w:t>
      </w:r>
      <w:r w:rsidR="004A74E7" w:rsidRPr="001433A9">
        <w:rPr>
          <w:color w:val="000000" w:themeColor="text1"/>
        </w:rPr>
        <w:t>research</w:t>
      </w:r>
      <w:r w:rsidR="0065236B" w:rsidRPr="001433A9">
        <w:rPr>
          <w:color w:val="000000" w:themeColor="text1"/>
        </w:rPr>
        <w:t xml:space="preserve"> </w:t>
      </w:r>
      <w:r w:rsidR="00D44B00" w:rsidRPr="001433A9">
        <w:rPr>
          <w:color w:val="000000" w:themeColor="text1"/>
        </w:rPr>
        <w:t>pertaining to LI</w:t>
      </w:r>
      <w:r w:rsidR="003E1158" w:rsidRPr="001433A9">
        <w:rPr>
          <w:color w:val="000000" w:themeColor="text1"/>
        </w:rPr>
        <w:t>.</w:t>
      </w:r>
      <w:r w:rsidR="003E1158" w:rsidRPr="001433A9">
        <w:rPr>
          <w:b/>
          <w:bCs/>
          <w:color w:val="000000" w:themeColor="text1"/>
        </w:rPr>
        <w:t xml:space="preserve"> </w:t>
      </w:r>
    </w:p>
    <w:p w14:paraId="30AF22C0" w14:textId="77777777" w:rsidR="00C82253" w:rsidRPr="001433A9" w:rsidRDefault="00C82253" w:rsidP="00851E32">
      <w:pPr>
        <w:widowControl w:val="0"/>
        <w:spacing w:line="480" w:lineRule="auto"/>
        <w:rPr>
          <w:b/>
          <w:bCs/>
          <w:color w:val="000000" w:themeColor="text1"/>
        </w:rPr>
      </w:pPr>
      <w:r w:rsidRPr="001433A9">
        <w:rPr>
          <w:b/>
          <w:bCs/>
          <w:color w:val="000000" w:themeColor="text1"/>
        </w:rPr>
        <w:t>Guidelines for Reporting Sociodemographics</w:t>
      </w:r>
    </w:p>
    <w:p w14:paraId="49D4F0BF" w14:textId="3A9D248B" w:rsidR="00C82253" w:rsidRPr="001433A9" w:rsidRDefault="00E31A69" w:rsidP="00851E32">
      <w:pPr>
        <w:widowControl w:val="0"/>
        <w:spacing w:line="480" w:lineRule="auto"/>
        <w:ind w:firstLine="720"/>
        <w:rPr>
          <w:color w:val="000000" w:themeColor="text1"/>
        </w:rPr>
      </w:pPr>
      <w:r w:rsidRPr="001433A9">
        <w:rPr>
          <w:color w:val="000000" w:themeColor="text1"/>
        </w:rPr>
        <w:t>Following</w:t>
      </w:r>
      <w:r w:rsidR="00C82253" w:rsidRPr="001433A9">
        <w:rPr>
          <w:color w:val="000000" w:themeColor="text1"/>
        </w:rPr>
        <w:t xml:space="preserve"> </w:t>
      </w:r>
      <w:r w:rsidR="00C82253" w:rsidRPr="001433A9">
        <w:rPr>
          <w:noProof/>
          <w:color w:val="000000" w:themeColor="text1"/>
        </w:rPr>
        <w:t>Steinbrenner et al. (2022)</w:t>
      </w:r>
      <w:r w:rsidR="00C82253" w:rsidRPr="001433A9">
        <w:rPr>
          <w:color w:val="000000" w:themeColor="text1"/>
        </w:rPr>
        <w:t>, reporting sociodemographics is necessary for understanding systematic exclusion in research</w:t>
      </w:r>
      <w:r w:rsidRPr="001433A9">
        <w:rPr>
          <w:color w:val="000000" w:themeColor="text1"/>
        </w:rPr>
        <w:t>.</w:t>
      </w:r>
      <w:r w:rsidR="00C82253" w:rsidRPr="001433A9">
        <w:rPr>
          <w:color w:val="000000" w:themeColor="text1"/>
        </w:rPr>
        <w:t xml:space="preserve"> </w:t>
      </w:r>
      <w:r w:rsidR="00C20A54" w:rsidRPr="001433A9">
        <w:rPr>
          <w:color w:val="000000" w:themeColor="text1"/>
        </w:rPr>
        <w:t>In addition,</w:t>
      </w:r>
      <w:r w:rsidR="00C82253" w:rsidRPr="001433A9">
        <w:rPr>
          <w:color w:val="000000" w:themeColor="text1"/>
        </w:rPr>
        <w:t xml:space="preserve"> mitigating inequity requires </w:t>
      </w:r>
      <w:r w:rsidRPr="001433A9">
        <w:rPr>
          <w:color w:val="000000" w:themeColor="text1"/>
        </w:rPr>
        <w:t xml:space="preserve">transparency about commitment to diversity in </w:t>
      </w:r>
      <w:r w:rsidR="00BB3484" w:rsidRPr="001433A9">
        <w:rPr>
          <w:color w:val="000000" w:themeColor="text1"/>
        </w:rPr>
        <w:t>participant samples</w:t>
      </w:r>
      <w:r w:rsidRPr="001433A9">
        <w:rPr>
          <w:color w:val="000000" w:themeColor="text1"/>
        </w:rPr>
        <w:t xml:space="preserve"> and systemic action (Wilton et al., 2020)</w:t>
      </w:r>
      <w:r w:rsidR="00C82253" w:rsidRPr="001433A9">
        <w:rPr>
          <w:color w:val="000000" w:themeColor="text1"/>
        </w:rPr>
        <w:t xml:space="preserve">. Widely used reporting guidelines, such as those from the American Medical Association </w:t>
      </w:r>
      <w:r w:rsidR="00C82253" w:rsidRPr="001433A9">
        <w:rPr>
          <w:noProof/>
          <w:color w:val="000000" w:themeColor="text1"/>
        </w:rPr>
        <w:t>(Flanagin et al., 2021; JAMA Network Editors, 2020)</w:t>
      </w:r>
      <w:r w:rsidR="00C82253" w:rsidRPr="001433A9">
        <w:rPr>
          <w:color w:val="000000" w:themeColor="text1"/>
        </w:rPr>
        <w:t xml:space="preserve"> and the American Psychological Association </w:t>
      </w:r>
      <w:r w:rsidR="00C82253" w:rsidRPr="001433A9">
        <w:rPr>
          <w:noProof/>
          <w:color w:val="000000" w:themeColor="text1"/>
        </w:rPr>
        <w:t>(</w:t>
      </w:r>
      <w:r w:rsidR="0053580A" w:rsidRPr="001433A9">
        <w:rPr>
          <w:noProof/>
          <w:color w:val="000000" w:themeColor="text1"/>
        </w:rPr>
        <w:t xml:space="preserve">[APA]; </w:t>
      </w:r>
      <w:r w:rsidR="00C82253" w:rsidRPr="001433A9">
        <w:rPr>
          <w:noProof/>
          <w:color w:val="000000" w:themeColor="text1"/>
        </w:rPr>
        <w:t>2020, 2021)</w:t>
      </w:r>
      <w:r w:rsidR="00C82253" w:rsidRPr="001433A9">
        <w:rPr>
          <w:color w:val="000000" w:themeColor="text1"/>
        </w:rPr>
        <w:t>, differently operationalize race, ethnicity, gender/sex, and socioeconomic status (SES). However, the consensus is that sociodemographic information should be included in the methods and results, and that the discussion section should consider these factors in terms of replicability and generalizability.</w:t>
      </w:r>
      <w:r w:rsidR="009171E9" w:rsidRPr="001433A9">
        <w:rPr>
          <w:color w:val="000000" w:themeColor="text1"/>
        </w:rPr>
        <w:t xml:space="preserve"> </w:t>
      </w:r>
      <w:r w:rsidR="00654C67" w:rsidRPr="001433A9">
        <w:rPr>
          <w:color w:val="000000" w:themeColor="text1"/>
        </w:rPr>
        <w:t>Per</w:t>
      </w:r>
      <w:r w:rsidR="0066111D" w:rsidRPr="001433A9">
        <w:rPr>
          <w:color w:val="000000" w:themeColor="text1"/>
        </w:rPr>
        <w:t xml:space="preserve"> prior work</w:t>
      </w:r>
      <w:r w:rsidR="009171E9" w:rsidRPr="001433A9">
        <w:rPr>
          <w:color w:val="000000" w:themeColor="text1"/>
        </w:rPr>
        <w:t xml:space="preserve">, these sociodemographic variables </w:t>
      </w:r>
      <w:r w:rsidR="0074506B" w:rsidRPr="001433A9">
        <w:rPr>
          <w:color w:val="000000" w:themeColor="text1"/>
        </w:rPr>
        <w:t xml:space="preserve">are social constructs that </w:t>
      </w:r>
      <w:r w:rsidR="009171E9" w:rsidRPr="001433A9">
        <w:rPr>
          <w:color w:val="000000" w:themeColor="text1"/>
        </w:rPr>
        <w:t xml:space="preserve">exist </w:t>
      </w:r>
      <w:r w:rsidR="0066111D" w:rsidRPr="001433A9">
        <w:rPr>
          <w:color w:val="000000" w:themeColor="text1"/>
        </w:rPr>
        <w:t>in hierarchical confluence</w:t>
      </w:r>
      <w:r w:rsidR="009171E9" w:rsidRPr="001433A9">
        <w:rPr>
          <w:color w:val="000000" w:themeColor="text1"/>
        </w:rPr>
        <w:t xml:space="preserve"> </w:t>
      </w:r>
      <w:r w:rsidR="0066111D" w:rsidRPr="001433A9">
        <w:rPr>
          <w:color w:val="000000" w:themeColor="text1"/>
        </w:rPr>
        <w:t>(e.g., Malone et al., 2022)</w:t>
      </w:r>
      <w:r w:rsidR="0044102D" w:rsidRPr="001433A9">
        <w:rPr>
          <w:color w:val="000000" w:themeColor="text1"/>
        </w:rPr>
        <w:t>.</w:t>
      </w:r>
      <w:r w:rsidR="009171E9" w:rsidRPr="001433A9">
        <w:rPr>
          <w:color w:val="000000" w:themeColor="text1"/>
        </w:rPr>
        <w:t xml:space="preserve"> </w:t>
      </w:r>
      <w:r w:rsidR="00D42062" w:rsidRPr="001433A9">
        <w:rPr>
          <w:color w:val="000000" w:themeColor="text1"/>
        </w:rPr>
        <w:t>Nevertheless, referring to reporting guidelines is a necessary first step.</w:t>
      </w:r>
    </w:p>
    <w:p w14:paraId="0924B6CB" w14:textId="77777777" w:rsidR="00C82253" w:rsidRPr="001433A9" w:rsidRDefault="00C82253" w:rsidP="00851E32">
      <w:pPr>
        <w:widowControl w:val="0"/>
        <w:spacing w:line="480" w:lineRule="auto"/>
        <w:rPr>
          <w:b/>
          <w:color w:val="000000" w:themeColor="text1"/>
        </w:rPr>
      </w:pPr>
      <w:r w:rsidRPr="001433A9">
        <w:rPr>
          <w:b/>
          <w:i/>
          <w:iCs/>
          <w:color w:val="000000" w:themeColor="text1"/>
        </w:rPr>
        <w:t>Race and Ethnicity</w:t>
      </w:r>
    </w:p>
    <w:p w14:paraId="0FA9B343" w14:textId="77777777" w:rsidR="00851E32" w:rsidRPr="001433A9" w:rsidRDefault="00C82253" w:rsidP="00851E32">
      <w:pPr>
        <w:widowControl w:val="0"/>
        <w:spacing w:line="480" w:lineRule="auto"/>
        <w:ind w:firstLine="720"/>
        <w:rPr>
          <w:bCs/>
          <w:color w:val="000000" w:themeColor="text1"/>
        </w:rPr>
      </w:pPr>
      <w:r w:rsidRPr="001433A9">
        <w:rPr>
          <w:bCs/>
          <w:color w:val="000000" w:themeColor="text1"/>
        </w:rPr>
        <w:t xml:space="preserve">The AMA </w:t>
      </w:r>
      <w:r w:rsidRPr="001433A9">
        <w:rPr>
          <w:bCs/>
          <w:noProof/>
          <w:color w:val="000000" w:themeColor="text1"/>
        </w:rPr>
        <w:t>(Flanagin et al., 2021)</w:t>
      </w:r>
      <w:r w:rsidRPr="001433A9">
        <w:rPr>
          <w:bCs/>
          <w:color w:val="000000" w:themeColor="text1"/>
        </w:rPr>
        <w:t xml:space="preserve"> and APA </w:t>
      </w:r>
      <w:r w:rsidRPr="001433A9">
        <w:rPr>
          <w:bCs/>
          <w:noProof/>
          <w:color w:val="000000" w:themeColor="text1"/>
        </w:rPr>
        <w:t>(2020, 2021)</w:t>
      </w:r>
      <w:r w:rsidRPr="001433A9">
        <w:rPr>
          <w:bCs/>
          <w:color w:val="000000" w:themeColor="text1"/>
        </w:rPr>
        <w:t xml:space="preserve"> require reporting of </w:t>
      </w:r>
      <w:proofErr w:type="gramStart"/>
      <w:r w:rsidRPr="001433A9">
        <w:rPr>
          <w:bCs/>
          <w:color w:val="000000" w:themeColor="text1"/>
        </w:rPr>
        <w:t>race</w:t>
      </w:r>
      <w:proofErr w:type="gramEnd"/>
    </w:p>
    <w:p w14:paraId="180F6472" w14:textId="53257970" w:rsidR="00D42062" w:rsidRPr="001433A9" w:rsidRDefault="00C82253" w:rsidP="00851E32">
      <w:pPr>
        <w:widowControl w:val="0"/>
        <w:spacing w:line="480" w:lineRule="auto"/>
        <w:rPr>
          <w:bCs/>
          <w:color w:val="000000" w:themeColor="text1"/>
        </w:rPr>
      </w:pPr>
      <w:r w:rsidRPr="001433A9">
        <w:rPr>
          <w:bCs/>
          <w:color w:val="000000" w:themeColor="text1"/>
        </w:rPr>
        <w:t xml:space="preserve">ethnicity, when defining them as social constructs arising from shared culture and history; this recognizes that they are not fixed identities but social processes of identity assignment. For instance, in the 1800’s, U.S. society did not initially consider Irish immigrants to be white, but over time, they became </w:t>
      </w:r>
      <w:r w:rsidRPr="001433A9">
        <w:rPr>
          <w:bCs/>
          <w:i/>
          <w:iCs/>
          <w:color w:val="000000" w:themeColor="text1"/>
        </w:rPr>
        <w:t xml:space="preserve">racialized </w:t>
      </w:r>
      <w:r w:rsidRPr="001433A9">
        <w:rPr>
          <w:bCs/>
          <w:color w:val="000000" w:themeColor="text1"/>
        </w:rPr>
        <w:t>as white.</w:t>
      </w:r>
      <w:r w:rsidR="00D42062" w:rsidRPr="001433A9">
        <w:rPr>
          <w:bCs/>
          <w:color w:val="000000" w:themeColor="text1"/>
        </w:rPr>
        <w:t xml:space="preserve"> </w:t>
      </w:r>
      <w:r w:rsidR="00B01BF2" w:rsidRPr="001433A9">
        <w:rPr>
          <w:bCs/>
          <w:color w:val="000000" w:themeColor="text1"/>
        </w:rPr>
        <w:t>R</w:t>
      </w:r>
      <w:r w:rsidR="00DD41F9" w:rsidRPr="001433A9">
        <w:rPr>
          <w:bCs/>
          <w:color w:val="000000" w:themeColor="text1"/>
        </w:rPr>
        <w:t xml:space="preserve">ace is </w:t>
      </w:r>
      <w:r w:rsidR="00B01BF2" w:rsidRPr="001433A9">
        <w:rPr>
          <w:bCs/>
          <w:color w:val="000000" w:themeColor="text1"/>
        </w:rPr>
        <w:t>a</w:t>
      </w:r>
      <w:r w:rsidR="00DD41F9" w:rsidRPr="001433A9">
        <w:rPr>
          <w:bCs/>
          <w:color w:val="000000" w:themeColor="text1"/>
        </w:rPr>
        <w:t xml:space="preserve"> social process, rather than a fixed identity (Malone et al., 2022). </w:t>
      </w:r>
      <w:r w:rsidR="0099474D" w:rsidRPr="001433A9">
        <w:rPr>
          <w:bCs/>
          <w:color w:val="000000" w:themeColor="text1"/>
        </w:rPr>
        <w:t xml:space="preserve">Though a study may not be </w:t>
      </w:r>
      <w:r w:rsidR="0099474D" w:rsidRPr="001433A9">
        <w:rPr>
          <w:bCs/>
          <w:i/>
          <w:iCs/>
          <w:color w:val="000000" w:themeColor="text1"/>
        </w:rPr>
        <w:t>about</w:t>
      </w:r>
      <w:r w:rsidR="0099474D" w:rsidRPr="001433A9">
        <w:rPr>
          <w:bCs/>
          <w:color w:val="000000" w:themeColor="text1"/>
        </w:rPr>
        <w:t xml:space="preserve"> race, it is critical to </w:t>
      </w:r>
      <w:r w:rsidR="00641E28" w:rsidRPr="001433A9">
        <w:rPr>
          <w:bCs/>
          <w:color w:val="000000" w:themeColor="text1"/>
        </w:rPr>
        <w:t xml:space="preserve">reduce </w:t>
      </w:r>
      <w:r w:rsidR="0099474D" w:rsidRPr="001433A9">
        <w:rPr>
          <w:bCs/>
          <w:color w:val="000000" w:themeColor="text1"/>
        </w:rPr>
        <w:t xml:space="preserve">colorblindness by examining and </w:t>
      </w:r>
      <w:r w:rsidR="00DD41F9" w:rsidRPr="001433A9">
        <w:rPr>
          <w:bCs/>
          <w:color w:val="000000" w:themeColor="text1"/>
        </w:rPr>
        <w:t>fram</w:t>
      </w:r>
      <w:r w:rsidR="0099474D" w:rsidRPr="001433A9">
        <w:rPr>
          <w:bCs/>
          <w:color w:val="000000" w:themeColor="text1"/>
        </w:rPr>
        <w:t>ing</w:t>
      </w:r>
      <w:r w:rsidR="00DD41F9" w:rsidRPr="001433A9">
        <w:rPr>
          <w:bCs/>
          <w:color w:val="000000" w:themeColor="text1"/>
        </w:rPr>
        <w:t xml:space="preserve"> </w:t>
      </w:r>
      <w:r w:rsidR="0099474D" w:rsidRPr="001433A9">
        <w:rPr>
          <w:bCs/>
          <w:color w:val="000000" w:themeColor="text1"/>
        </w:rPr>
        <w:t xml:space="preserve">racial differences </w:t>
      </w:r>
      <w:r w:rsidR="00DE10DA" w:rsidRPr="001433A9">
        <w:rPr>
          <w:bCs/>
          <w:color w:val="000000" w:themeColor="text1"/>
        </w:rPr>
        <w:t>from a sociocultural lens</w:t>
      </w:r>
      <w:r w:rsidR="0099474D" w:rsidRPr="001433A9">
        <w:rPr>
          <w:bCs/>
          <w:color w:val="000000" w:themeColor="text1"/>
        </w:rPr>
        <w:t xml:space="preserve"> (Annamma et al., 2017; Roberts &amp; Mortenson, 2022)</w:t>
      </w:r>
      <w:r w:rsidR="00DE10DA" w:rsidRPr="001433A9">
        <w:rPr>
          <w:bCs/>
          <w:color w:val="000000" w:themeColor="text1"/>
        </w:rPr>
        <w:t xml:space="preserve">. </w:t>
      </w:r>
      <w:r w:rsidR="0099474D" w:rsidRPr="001433A9">
        <w:rPr>
          <w:bCs/>
          <w:color w:val="000000" w:themeColor="text1"/>
        </w:rPr>
        <w:t>R</w:t>
      </w:r>
      <w:r w:rsidR="00BE21F2" w:rsidRPr="001433A9">
        <w:rPr>
          <w:bCs/>
          <w:color w:val="000000" w:themeColor="text1"/>
        </w:rPr>
        <w:t xml:space="preserve">acial </w:t>
      </w:r>
      <w:r w:rsidR="008039C3" w:rsidRPr="001433A9">
        <w:rPr>
          <w:bCs/>
          <w:color w:val="000000" w:themeColor="text1"/>
        </w:rPr>
        <w:t>disparities</w:t>
      </w:r>
      <w:r w:rsidR="00DE10DA" w:rsidRPr="001433A9">
        <w:rPr>
          <w:bCs/>
          <w:color w:val="000000" w:themeColor="text1"/>
        </w:rPr>
        <w:t xml:space="preserve"> are not due to </w:t>
      </w:r>
      <w:r w:rsidR="008039C3" w:rsidRPr="001433A9">
        <w:rPr>
          <w:bCs/>
          <w:color w:val="000000" w:themeColor="text1"/>
        </w:rPr>
        <w:t xml:space="preserve">race itself, but rather, to systemic </w:t>
      </w:r>
      <w:r w:rsidR="00DE10DA" w:rsidRPr="001433A9">
        <w:rPr>
          <w:bCs/>
          <w:color w:val="000000" w:themeColor="text1"/>
        </w:rPr>
        <w:t>social injustices that shape the experiences of autistic REM</w:t>
      </w:r>
      <w:r w:rsidR="008A6251" w:rsidRPr="001433A9">
        <w:rPr>
          <w:bCs/>
          <w:color w:val="000000" w:themeColor="text1"/>
        </w:rPr>
        <w:t xml:space="preserve"> with LI</w:t>
      </w:r>
      <w:r w:rsidR="00DE10DA" w:rsidRPr="001433A9">
        <w:rPr>
          <w:bCs/>
          <w:color w:val="000000" w:themeColor="text1"/>
        </w:rPr>
        <w:t>.</w:t>
      </w:r>
    </w:p>
    <w:p w14:paraId="60853055" w14:textId="311E145E" w:rsidR="00C82253" w:rsidRPr="001433A9" w:rsidRDefault="00C82253" w:rsidP="008039C3">
      <w:pPr>
        <w:widowControl w:val="0"/>
        <w:spacing w:line="480" w:lineRule="auto"/>
        <w:ind w:firstLine="720"/>
        <w:rPr>
          <w:bCs/>
          <w:color w:val="000000" w:themeColor="text1"/>
        </w:rPr>
      </w:pPr>
      <w:r w:rsidRPr="001433A9">
        <w:rPr>
          <w:bCs/>
          <w:color w:val="000000" w:themeColor="text1"/>
        </w:rPr>
        <w:lastRenderedPageBreak/>
        <w:t xml:space="preserve"> Current reporting guidelines from the National Institutes of Health (NIH) only require researchers to describe broad categories for race (American Indian or Alaska Native, Asian, Black or African American, Native Hawai’ian or Other Pacific Islander, and White) and ethnicity (“Hispanic or Latino” and “Not Hispanic or Latino”</w:t>
      </w:r>
      <w:r w:rsidR="009A6A9F" w:rsidRPr="001433A9">
        <w:rPr>
          <w:bCs/>
          <w:color w:val="000000" w:themeColor="text1"/>
        </w:rPr>
        <w:t>;</w:t>
      </w:r>
      <w:r w:rsidR="009A6A9F" w:rsidRPr="001433A9">
        <w:rPr>
          <w:bCs/>
          <w:noProof/>
          <w:color w:val="000000" w:themeColor="text1"/>
        </w:rPr>
        <w:t xml:space="preserve"> </w:t>
      </w:r>
      <w:r w:rsidRPr="001433A9">
        <w:rPr>
          <w:bCs/>
          <w:noProof/>
          <w:color w:val="000000" w:themeColor="text1"/>
        </w:rPr>
        <w:t>Office of Management and Budget, 1997)</w:t>
      </w:r>
      <w:r w:rsidRPr="001433A9">
        <w:rPr>
          <w:bCs/>
          <w:color w:val="000000" w:themeColor="text1"/>
        </w:rPr>
        <w:t xml:space="preserve">. We now recognize the importance of using specific rather than blanket terms, such as “African American and Puerto Rican” instead of “multiracial” </w:t>
      </w:r>
      <w:r w:rsidRPr="001433A9">
        <w:rPr>
          <w:bCs/>
          <w:noProof/>
          <w:color w:val="000000" w:themeColor="text1"/>
        </w:rPr>
        <w:t>(Flanagin et al., 2021)</w:t>
      </w:r>
      <w:r w:rsidRPr="001433A9">
        <w:rPr>
          <w:bCs/>
          <w:color w:val="000000" w:themeColor="text1"/>
        </w:rPr>
        <w:t xml:space="preserve">. Given this literature, participants should be allowed to select from or to self-identify with </w:t>
      </w:r>
      <w:r w:rsidR="003A0E1E" w:rsidRPr="001433A9">
        <w:rPr>
          <w:bCs/>
          <w:color w:val="000000" w:themeColor="text1"/>
        </w:rPr>
        <w:t xml:space="preserve">multiple </w:t>
      </w:r>
      <w:r w:rsidRPr="001433A9">
        <w:rPr>
          <w:bCs/>
          <w:color w:val="000000" w:themeColor="text1"/>
        </w:rPr>
        <w:t xml:space="preserve">specific labels, such as Korean rather than Asian, or Egyptian rather than Middle Eastern/North African. Most importantly, reporting should avoid treating “white” as the default against which other categories are compared; instead, we should aim to report all racial and ethnic categories, and their intersection with race and ethnicity. </w:t>
      </w:r>
      <w:r w:rsidR="003A0E1E" w:rsidRPr="001433A9">
        <w:rPr>
          <w:bCs/>
          <w:color w:val="000000" w:themeColor="text1"/>
        </w:rPr>
        <w:t>Of course</w:t>
      </w:r>
      <w:r w:rsidRPr="001433A9">
        <w:rPr>
          <w:bCs/>
          <w:color w:val="000000" w:themeColor="text1"/>
        </w:rPr>
        <w:t>, researchers must balance reporting</w:t>
      </w:r>
      <w:r w:rsidR="003A0E1E" w:rsidRPr="001433A9">
        <w:rPr>
          <w:bCs/>
          <w:color w:val="000000" w:themeColor="text1"/>
        </w:rPr>
        <w:t xml:space="preserve"> needs with concerns for participant privacy</w:t>
      </w:r>
      <w:r w:rsidRPr="001433A9">
        <w:rPr>
          <w:bCs/>
          <w:color w:val="000000" w:themeColor="text1"/>
        </w:rPr>
        <w:t xml:space="preserve">, as providing highly specific information </w:t>
      </w:r>
      <w:r w:rsidR="003A0E1E" w:rsidRPr="001433A9">
        <w:rPr>
          <w:bCs/>
          <w:color w:val="000000" w:themeColor="text1"/>
        </w:rPr>
        <w:t xml:space="preserve">about </w:t>
      </w:r>
      <w:r w:rsidRPr="001433A9">
        <w:rPr>
          <w:bCs/>
          <w:color w:val="000000" w:themeColor="text1"/>
        </w:rPr>
        <w:t xml:space="preserve">participants </w:t>
      </w:r>
      <w:r w:rsidR="003A0E1E" w:rsidRPr="001433A9">
        <w:rPr>
          <w:bCs/>
          <w:color w:val="000000" w:themeColor="text1"/>
        </w:rPr>
        <w:t>in</w:t>
      </w:r>
      <w:r w:rsidRPr="001433A9">
        <w:rPr>
          <w:bCs/>
          <w:color w:val="000000" w:themeColor="text1"/>
        </w:rPr>
        <w:t xml:space="preserve"> a small sample or a low-incidence population risks</w:t>
      </w:r>
      <w:r w:rsidR="00851E32" w:rsidRPr="001433A9">
        <w:rPr>
          <w:bCs/>
          <w:color w:val="000000" w:themeColor="text1"/>
        </w:rPr>
        <w:t xml:space="preserve"> </w:t>
      </w:r>
      <w:r w:rsidRPr="001433A9">
        <w:rPr>
          <w:bCs/>
          <w:color w:val="000000" w:themeColor="text1"/>
        </w:rPr>
        <w:t xml:space="preserve">identification </w:t>
      </w:r>
      <w:r w:rsidRPr="001433A9">
        <w:rPr>
          <w:bCs/>
          <w:noProof/>
          <w:color w:val="000000" w:themeColor="text1"/>
        </w:rPr>
        <w:t xml:space="preserve">(Girolamo et al., </w:t>
      </w:r>
      <w:r w:rsidR="00851E32" w:rsidRPr="001433A9">
        <w:rPr>
          <w:bCs/>
          <w:noProof/>
          <w:color w:val="000000" w:themeColor="text1"/>
        </w:rPr>
        <w:t>2022a</w:t>
      </w:r>
      <w:r w:rsidRPr="001433A9">
        <w:rPr>
          <w:bCs/>
          <w:noProof/>
          <w:color w:val="000000" w:themeColor="text1"/>
        </w:rPr>
        <w:t>)</w:t>
      </w:r>
      <w:r w:rsidRPr="001433A9">
        <w:rPr>
          <w:bCs/>
          <w:color w:val="000000" w:themeColor="text1"/>
        </w:rPr>
        <w:t>. Reporting guidelines for the AMA and APA underline</w:t>
      </w:r>
      <w:r w:rsidR="003A0E1E" w:rsidRPr="001433A9">
        <w:rPr>
          <w:bCs/>
          <w:color w:val="000000" w:themeColor="text1"/>
        </w:rPr>
        <w:t xml:space="preserve"> </w:t>
      </w:r>
      <w:r w:rsidRPr="001433A9">
        <w:rPr>
          <w:bCs/>
          <w:color w:val="000000" w:themeColor="text1"/>
        </w:rPr>
        <w:t>the importance of precision in describing race or ethnicity, while</w:t>
      </w:r>
      <w:r w:rsidR="002A70E9" w:rsidRPr="001433A9">
        <w:rPr>
          <w:bCs/>
          <w:color w:val="000000" w:themeColor="text1"/>
        </w:rPr>
        <w:t xml:space="preserve"> </w:t>
      </w:r>
      <w:r w:rsidRPr="001433A9">
        <w:rPr>
          <w:bCs/>
          <w:color w:val="000000" w:themeColor="text1"/>
        </w:rPr>
        <w:t xml:space="preserve">guidelines for the NIH do not. </w:t>
      </w:r>
    </w:p>
    <w:p w14:paraId="709C1B9F" w14:textId="77777777" w:rsidR="00C82253" w:rsidRPr="001433A9" w:rsidRDefault="00C82253" w:rsidP="00851E32">
      <w:pPr>
        <w:widowControl w:val="0"/>
        <w:spacing w:line="480" w:lineRule="auto"/>
        <w:rPr>
          <w:b/>
          <w:color w:val="000000" w:themeColor="text1"/>
        </w:rPr>
      </w:pPr>
      <w:r w:rsidRPr="001433A9">
        <w:rPr>
          <w:b/>
          <w:i/>
          <w:iCs/>
          <w:color w:val="000000" w:themeColor="text1"/>
        </w:rPr>
        <w:t>Gender and Sex</w:t>
      </w:r>
      <w:r w:rsidRPr="001433A9">
        <w:rPr>
          <w:b/>
          <w:color w:val="000000" w:themeColor="text1"/>
        </w:rPr>
        <w:t xml:space="preserve"> </w:t>
      </w:r>
    </w:p>
    <w:p w14:paraId="3B5112EA" w14:textId="551AB934" w:rsidR="00C82253" w:rsidRPr="001433A9" w:rsidRDefault="00C82253" w:rsidP="008039C3">
      <w:pPr>
        <w:widowControl w:val="0"/>
        <w:spacing w:line="480" w:lineRule="auto"/>
        <w:ind w:firstLine="720"/>
        <w:rPr>
          <w:bCs/>
          <w:color w:val="000000" w:themeColor="text1"/>
        </w:rPr>
      </w:pPr>
      <w:r w:rsidRPr="001433A9">
        <w:rPr>
          <w:bCs/>
          <w:color w:val="000000" w:themeColor="text1"/>
        </w:rPr>
        <w:t xml:space="preserve">The AMA </w:t>
      </w:r>
      <w:r w:rsidRPr="001433A9">
        <w:rPr>
          <w:bCs/>
          <w:noProof/>
          <w:color w:val="000000" w:themeColor="text1"/>
        </w:rPr>
        <w:t>(Flanagin et al., 2021; JAMA Network Editors, 2020)</w:t>
      </w:r>
      <w:r w:rsidRPr="001433A9">
        <w:rPr>
          <w:bCs/>
          <w:color w:val="000000" w:themeColor="text1"/>
        </w:rPr>
        <w:t xml:space="preserve"> and APA </w:t>
      </w:r>
      <w:r w:rsidRPr="001433A9">
        <w:rPr>
          <w:bCs/>
          <w:noProof/>
          <w:color w:val="000000" w:themeColor="text1"/>
        </w:rPr>
        <w:t>(2020, 2021)</w:t>
      </w:r>
      <w:r w:rsidR="003A0E1E" w:rsidRPr="001433A9">
        <w:rPr>
          <w:bCs/>
          <w:noProof/>
          <w:color w:val="000000" w:themeColor="text1"/>
        </w:rPr>
        <w:t xml:space="preserve"> </w:t>
      </w:r>
      <w:r w:rsidRPr="001433A9">
        <w:rPr>
          <w:bCs/>
          <w:color w:val="000000" w:themeColor="text1"/>
        </w:rPr>
        <w:t>provide similar guidance for the reporting of gender and sex; the APA further notes that gender</w:t>
      </w:r>
      <w:r w:rsidR="003A0E1E" w:rsidRPr="001433A9">
        <w:rPr>
          <w:bCs/>
          <w:color w:val="000000" w:themeColor="text1"/>
        </w:rPr>
        <w:t xml:space="preserve"> </w:t>
      </w:r>
      <w:r w:rsidRPr="001433A9">
        <w:rPr>
          <w:bCs/>
          <w:color w:val="000000" w:themeColor="text1"/>
        </w:rPr>
        <w:t>identity is a component of gender. Per these definitions, sex refers to biological assignment at</w:t>
      </w:r>
      <w:r w:rsidR="003A0E1E" w:rsidRPr="001433A9">
        <w:rPr>
          <w:bCs/>
          <w:color w:val="000000" w:themeColor="text1"/>
        </w:rPr>
        <w:t xml:space="preserve"> </w:t>
      </w:r>
      <w:r w:rsidRPr="001433A9">
        <w:rPr>
          <w:bCs/>
          <w:color w:val="000000" w:themeColor="text1"/>
        </w:rPr>
        <w:t xml:space="preserve">birth, while gender and gender identity center the sociocultural components of identity </w:t>
      </w:r>
      <w:r w:rsidRPr="001433A9">
        <w:rPr>
          <w:bCs/>
          <w:noProof/>
          <w:color w:val="000000" w:themeColor="text1"/>
        </w:rPr>
        <w:t>(</w:t>
      </w:r>
      <w:r w:rsidR="009A7DE3" w:rsidRPr="001433A9">
        <w:rPr>
          <w:bCs/>
          <w:noProof/>
          <w:color w:val="000000" w:themeColor="text1"/>
        </w:rPr>
        <w:t>APA</w:t>
      </w:r>
      <w:r w:rsidRPr="001433A9">
        <w:rPr>
          <w:bCs/>
          <w:noProof/>
          <w:color w:val="000000" w:themeColor="text1"/>
        </w:rPr>
        <w:t>, 2020, 2021; Flanagin et al., 2021; JAMA Network Editors, 2020)</w:t>
      </w:r>
      <w:r w:rsidRPr="001433A9">
        <w:rPr>
          <w:bCs/>
          <w:color w:val="000000" w:themeColor="text1"/>
        </w:rPr>
        <w:t xml:space="preserve">. Thus, sex, gender, and gender identity, are distinct constructs and should be fully reported; studies should avoid reporting only the number of </w:t>
      </w:r>
      <w:r w:rsidR="00765033" w:rsidRPr="001433A9">
        <w:rPr>
          <w:bCs/>
          <w:color w:val="000000" w:themeColor="text1"/>
        </w:rPr>
        <w:t>males or</w:t>
      </w:r>
      <w:r w:rsidRPr="001433A9">
        <w:rPr>
          <w:bCs/>
          <w:color w:val="000000" w:themeColor="text1"/>
        </w:rPr>
        <w:t xml:space="preserve"> conveying the assumption that all participants are cisgender. Reporting </w:t>
      </w:r>
      <w:r w:rsidRPr="001433A9">
        <w:rPr>
          <w:bCs/>
          <w:color w:val="000000" w:themeColor="text1"/>
        </w:rPr>
        <w:lastRenderedPageBreak/>
        <w:t xml:space="preserve">precise information on participant gender and sex, as well as specifying which information is provided, is critical to understanding the generalizability of findings, especially considering that autistic individuals are more likely than neurotypical individuals to be gender diverse </w:t>
      </w:r>
      <w:r w:rsidRPr="001433A9">
        <w:rPr>
          <w:bCs/>
          <w:noProof/>
          <w:color w:val="000000" w:themeColor="text1"/>
        </w:rPr>
        <w:t>(Walsh et al., 2018; Warrier et al., 2020)</w:t>
      </w:r>
      <w:r w:rsidRPr="001433A9">
        <w:rPr>
          <w:bCs/>
          <w:color w:val="000000" w:themeColor="text1"/>
        </w:rPr>
        <w:t>. As with race and ethnicity, researchers must balance completeness of reporting with concerns for participant privacy. For instance, if a study of a low-incidence sample includes only one nonbinary participant, adding further specific information about their demographics could render</w:t>
      </w:r>
      <w:r w:rsidR="009A7DE3" w:rsidRPr="001433A9">
        <w:rPr>
          <w:bCs/>
          <w:color w:val="000000" w:themeColor="text1"/>
        </w:rPr>
        <w:t xml:space="preserve"> </w:t>
      </w:r>
      <w:r w:rsidRPr="001433A9">
        <w:rPr>
          <w:bCs/>
          <w:color w:val="000000" w:themeColor="text1"/>
        </w:rPr>
        <w:t>them identifiable. In this case, summarizing results could be a workable solution.</w:t>
      </w:r>
    </w:p>
    <w:p w14:paraId="304F65A3" w14:textId="77777777" w:rsidR="00C82253" w:rsidRPr="001433A9" w:rsidRDefault="00C82253" w:rsidP="00851E32">
      <w:pPr>
        <w:widowControl w:val="0"/>
        <w:spacing w:line="480" w:lineRule="auto"/>
        <w:rPr>
          <w:b/>
          <w:i/>
          <w:iCs/>
          <w:color w:val="000000" w:themeColor="text1"/>
        </w:rPr>
      </w:pPr>
      <w:r w:rsidRPr="001433A9">
        <w:rPr>
          <w:b/>
          <w:i/>
          <w:iCs/>
          <w:color w:val="000000" w:themeColor="text1"/>
        </w:rPr>
        <w:t>Socioeconomic Status</w:t>
      </w:r>
    </w:p>
    <w:p w14:paraId="668C8872" w14:textId="0E7F999F" w:rsidR="00C82253" w:rsidRPr="001433A9" w:rsidRDefault="00C82253" w:rsidP="008039C3">
      <w:pPr>
        <w:widowControl w:val="0"/>
        <w:spacing w:line="480" w:lineRule="auto"/>
        <w:ind w:firstLine="720"/>
        <w:rPr>
          <w:bCs/>
          <w:color w:val="000000" w:themeColor="text1"/>
        </w:rPr>
      </w:pPr>
      <w:r w:rsidRPr="001433A9">
        <w:rPr>
          <w:bCs/>
          <w:color w:val="000000" w:themeColor="text1"/>
        </w:rPr>
        <w:t xml:space="preserve">Current guidelines offer inconsistent guidance on SES. The AMA </w:t>
      </w:r>
      <w:r w:rsidRPr="001433A9">
        <w:rPr>
          <w:bCs/>
          <w:noProof/>
          <w:color w:val="000000" w:themeColor="text1"/>
        </w:rPr>
        <w:t>(Flanagin et al., 2021; JAMA Network Editors, 2020)</w:t>
      </w:r>
      <w:r w:rsidRPr="001433A9">
        <w:rPr>
          <w:bCs/>
          <w:color w:val="000000" w:themeColor="text1"/>
        </w:rPr>
        <w:t xml:space="preserve"> mentions reporting SES without defining it, and instructs authors to use person-first language (e.g., “people of low-SES” versus “the poor”). In contrast, the APA </w:t>
      </w:r>
      <w:r w:rsidRPr="001433A9">
        <w:rPr>
          <w:bCs/>
          <w:noProof/>
          <w:color w:val="000000" w:themeColor="text1"/>
        </w:rPr>
        <w:t>(2020, 2021)</w:t>
      </w:r>
      <w:r w:rsidRPr="001433A9">
        <w:rPr>
          <w:bCs/>
          <w:color w:val="000000" w:themeColor="text1"/>
        </w:rPr>
        <w:t xml:space="preserve"> defines SES as a multivariate construct comprised of indicators such as income, educational attainment, occupational prestige, and subjective perceptions of social status and</w:t>
      </w:r>
      <w:r w:rsidR="000B2395" w:rsidRPr="001433A9">
        <w:rPr>
          <w:bCs/>
          <w:color w:val="000000" w:themeColor="text1"/>
        </w:rPr>
        <w:t xml:space="preserve"> </w:t>
      </w:r>
      <w:r w:rsidRPr="001433A9">
        <w:rPr>
          <w:bCs/>
          <w:color w:val="000000" w:themeColor="text1"/>
        </w:rPr>
        <w:t xml:space="preserve">class. </w:t>
      </w:r>
      <w:r w:rsidR="005E5438" w:rsidRPr="001433A9">
        <w:rPr>
          <w:bCs/>
          <w:color w:val="000000" w:themeColor="text1"/>
        </w:rPr>
        <w:t xml:space="preserve">This lack of clarity in operationalizing SES in reporting guidelines is reflected in the research literature. A historical analysis revealed that although parental education, occupation, and income are persistently frequent measures of SES, earlier assessment of SES focused on social capital </w:t>
      </w:r>
      <w:r w:rsidR="00292C9F" w:rsidRPr="001433A9">
        <w:rPr>
          <w:bCs/>
          <w:color w:val="000000" w:themeColor="text1"/>
        </w:rPr>
        <w:t>while</w:t>
      </w:r>
      <w:r w:rsidR="005E5438" w:rsidRPr="001433A9">
        <w:rPr>
          <w:bCs/>
          <w:color w:val="000000" w:themeColor="text1"/>
        </w:rPr>
        <w:t xml:space="preserve"> more recent assessment considered</w:t>
      </w:r>
      <w:r w:rsidR="00292C9F" w:rsidRPr="001433A9">
        <w:rPr>
          <w:bCs/>
          <w:color w:val="000000" w:themeColor="text1"/>
        </w:rPr>
        <w:t xml:space="preserve"> cultural and economic capital (Long &amp; Renbarger, 2023). In practical terms,</w:t>
      </w:r>
      <w:r w:rsidR="005E5438" w:rsidRPr="001433A9">
        <w:rPr>
          <w:bCs/>
          <w:color w:val="000000" w:themeColor="text1"/>
        </w:rPr>
        <w:t xml:space="preserve"> </w:t>
      </w:r>
      <w:r w:rsidR="00292C9F" w:rsidRPr="001433A9">
        <w:rPr>
          <w:bCs/>
          <w:color w:val="000000" w:themeColor="text1"/>
        </w:rPr>
        <w:t>a</w:t>
      </w:r>
      <w:r w:rsidRPr="001433A9">
        <w:rPr>
          <w:bCs/>
          <w:color w:val="000000" w:themeColor="text1"/>
        </w:rPr>
        <w:t>ssessing SES with one indicator is insufficient and may be misleading</w:t>
      </w:r>
      <w:r w:rsidR="000B2395" w:rsidRPr="001433A9">
        <w:rPr>
          <w:bCs/>
          <w:color w:val="000000" w:themeColor="text1"/>
        </w:rPr>
        <w:t xml:space="preserve">; </w:t>
      </w:r>
      <w:r w:rsidRPr="001433A9">
        <w:rPr>
          <w:bCs/>
          <w:color w:val="000000" w:themeColor="text1"/>
        </w:rPr>
        <w:t>a</w:t>
      </w:r>
      <w:r w:rsidR="000B2395" w:rsidRPr="001433A9">
        <w:rPr>
          <w:bCs/>
          <w:color w:val="000000" w:themeColor="text1"/>
        </w:rPr>
        <w:t xml:space="preserve"> </w:t>
      </w:r>
      <w:r w:rsidRPr="001433A9">
        <w:rPr>
          <w:bCs/>
          <w:color w:val="000000" w:themeColor="text1"/>
        </w:rPr>
        <w:t>doctoral student may have low income but high educational attainment and access to</w:t>
      </w:r>
      <w:r w:rsidR="000B2395" w:rsidRPr="001433A9">
        <w:rPr>
          <w:bCs/>
          <w:color w:val="000000" w:themeColor="text1"/>
        </w:rPr>
        <w:t xml:space="preserve"> </w:t>
      </w:r>
      <w:r w:rsidRPr="001433A9">
        <w:rPr>
          <w:bCs/>
          <w:color w:val="000000" w:themeColor="text1"/>
        </w:rPr>
        <w:t>opportunities.</w:t>
      </w:r>
    </w:p>
    <w:p w14:paraId="385B72D4" w14:textId="77777777" w:rsidR="00C82253" w:rsidRPr="001433A9" w:rsidRDefault="00C82253" w:rsidP="00851E32">
      <w:pPr>
        <w:widowControl w:val="0"/>
        <w:spacing w:line="480" w:lineRule="auto"/>
        <w:rPr>
          <w:b/>
          <w:bCs/>
          <w:color w:val="000000" w:themeColor="text1"/>
        </w:rPr>
      </w:pPr>
      <w:r w:rsidRPr="001433A9">
        <w:rPr>
          <w:b/>
          <w:bCs/>
          <w:color w:val="000000" w:themeColor="text1"/>
        </w:rPr>
        <w:t>The Current Study</w:t>
      </w:r>
    </w:p>
    <w:p w14:paraId="2750FAB2" w14:textId="0BE72E22" w:rsidR="00C82253" w:rsidRPr="001433A9" w:rsidRDefault="00C82253" w:rsidP="008039C3">
      <w:pPr>
        <w:widowControl w:val="0"/>
        <w:spacing w:line="480" w:lineRule="auto"/>
        <w:ind w:firstLine="720"/>
        <w:rPr>
          <w:color w:val="000000" w:themeColor="text1"/>
        </w:rPr>
      </w:pPr>
      <w:r w:rsidRPr="001433A9">
        <w:rPr>
          <w:color w:val="000000" w:themeColor="text1"/>
        </w:rPr>
        <w:t xml:space="preserve">Given broad issues with underrepresentation in autism and LI research, this systematic </w:t>
      </w:r>
      <w:r w:rsidRPr="001433A9">
        <w:rPr>
          <w:color w:val="000000" w:themeColor="text1"/>
        </w:rPr>
        <w:lastRenderedPageBreak/>
        <w:t xml:space="preserve">review examined reporting practices and representation in </w:t>
      </w:r>
      <w:r w:rsidR="0068398D" w:rsidRPr="001433A9">
        <w:rPr>
          <w:color w:val="000000" w:themeColor="text1"/>
        </w:rPr>
        <w:t>language studies pertaining to</w:t>
      </w:r>
      <w:r w:rsidRPr="001433A9">
        <w:rPr>
          <w:color w:val="000000" w:themeColor="text1"/>
        </w:rPr>
        <w:t xml:space="preserve"> LI in school-age autistic individuals</w:t>
      </w:r>
      <w:r w:rsidR="000B2395" w:rsidRPr="001433A9">
        <w:rPr>
          <w:color w:val="000000" w:themeColor="text1"/>
        </w:rPr>
        <w:t>, drawing from reporting guidelines</w:t>
      </w:r>
      <w:r w:rsidRPr="001433A9">
        <w:rPr>
          <w:color w:val="000000" w:themeColor="text1"/>
        </w:rPr>
        <w:t xml:space="preserve">. Our research </w:t>
      </w:r>
      <w:r w:rsidR="00726BA1" w:rsidRPr="001433A9">
        <w:rPr>
          <w:color w:val="000000" w:themeColor="text1"/>
        </w:rPr>
        <w:t>focuses on</w:t>
      </w:r>
      <w:r w:rsidRPr="001433A9">
        <w:rPr>
          <w:color w:val="000000" w:themeColor="text1"/>
        </w:rPr>
        <w:t>:</w:t>
      </w:r>
    </w:p>
    <w:p w14:paraId="68AE43AC" w14:textId="70CEDC58" w:rsidR="00C82253" w:rsidRPr="001433A9" w:rsidRDefault="00726BA1" w:rsidP="00851E32">
      <w:pPr>
        <w:pStyle w:val="ListParagraph"/>
        <w:widowControl w:val="0"/>
        <w:numPr>
          <w:ilvl w:val="0"/>
          <w:numId w:val="2"/>
        </w:numPr>
        <w:autoSpaceDE w:val="0"/>
        <w:autoSpaceDN w:val="0"/>
        <w:adjustRightInd w:val="0"/>
        <w:spacing w:line="480" w:lineRule="auto"/>
        <w:ind w:left="360"/>
        <w:rPr>
          <w:rFonts w:ascii="Times New Roman" w:hAnsi="Times New Roman" w:cs="Times New Roman"/>
          <w:color w:val="000000" w:themeColor="text1"/>
          <w:sz w:val="24"/>
          <w:szCs w:val="24"/>
        </w:rPr>
      </w:pPr>
      <w:r w:rsidRPr="001433A9">
        <w:rPr>
          <w:rFonts w:ascii="Times New Roman" w:hAnsi="Times New Roman" w:cs="Times New Roman"/>
          <w:color w:val="000000" w:themeColor="text1"/>
          <w:sz w:val="24"/>
          <w:szCs w:val="24"/>
        </w:rPr>
        <w:t xml:space="preserve">Documenting </w:t>
      </w:r>
      <w:r w:rsidR="00C82253" w:rsidRPr="001433A9">
        <w:rPr>
          <w:rFonts w:ascii="Times New Roman" w:hAnsi="Times New Roman" w:cs="Times New Roman"/>
          <w:color w:val="000000" w:themeColor="text1"/>
          <w:sz w:val="24"/>
          <w:szCs w:val="24"/>
        </w:rPr>
        <w:t xml:space="preserve">reporting practices for participant sociodemographics in terms of race and ethnicity, gender and sex, and SES, in </w:t>
      </w:r>
      <w:r w:rsidR="00C04689" w:rsidRPr="001433A9">
        <w:rPr>
          <w:rFonts w:ascii="Times New Roman" w:hAnsi="Times New Roman" w:cs="Times New Roman"/>
          <w:color w:val="000000" w:themeColor="text1"/>
          <w:sz w:val="24"/>
          <w:szCs w:val="24"/>
        </w:rPr>
        <w:t>language studies pertaining to LI</w:t>
      </w:r>
      <w:r w:rsidR="00C82253" w:rsidRPr="001433A9">
        <w:rPr>
          <w:rFonts w:ascii="Times New Roman" w:hAnsi="Times New Roman" w:cs="Times New Roman"/>
          <w:color w:val="000000" w:themeColor="text1"/>
          <w:sz w:val="24"/>
          <w:szCs w:val="24"/>
        </w:rPr>
        <w:t xml:space="preserve"> in autistic school-age individuals</w:t>
      </w:r>
      <w:r w:rsidRPr="001433A9">
        <w:rPr>
          <w:rFonts w:ascii="Times New Roman" w:hAnsi="Times New Roman" w:cs="Times New Roman"/>
          <w:color w:val="000000" w:themeColor="text1"/>
          <w:sz w:val="24"/>
          <w:szCs w:val="24"/>
        </w:rPr>
        <w:t>.</w:t>
      </w:r>
      <w:r w:rsidR="00C82253" w:rsidRPr="001433A9">
        <w:rPr>
          <w:rFonts w:ascii="Times New Roman" w:hAnsi="Times New Roman" w:cs="Times New Roman"/>
          <w:color w:val="000000" w:themeColor="text1"/>
          <w:sz w:val="24"/>
          <w:szCs w:val="24"/>
        </w:rPr>
        <w:t xml:space="preserve"> </w:t>
      </w:r>
    </w:p>
    <w:p w14:paraId="0067027E" w14:textId="5CB5D8EA" w:rsidR="00C82253" w:rsidRPr="001433A9" w:rsidRDefault="00726BA1" w:rsidP="008039C3">
      <w:pPr>
        <w:pStyle w:val="ListParagraph"/>
        <w:widowControl w:val="0"/>
        <w:numPr>
          <w:ilvl w:val="0"/>
          <w:numId w:val="2"/>
        </w:numPr>
        <w:autoSpaceDE w:val="0"/>
        <w:autoSpaceDN w:val="0"/>
        <w:adjustRightInd w:val="0"/>
        <w:spacing w:after="0" w:line="480" w:lineRule="auto"/>
        <w:ind w:left="360"/>
        <w:rPr>
          <w:rFonts w:ascii="Times New Roman" w:hAnsi="Times New Roman" w:cs="Times New Roman"/>
          <w:color w:val="000000" w:themeColor="text1"/>
          <w:sz w:val="24"/>
          <w:szCs w:val="24"/>
        </w:rPr>
      </w:pPr>
      <w:r w:rsidRPr="001433A9">
        <w:rPr>
          <w:rFonts w:ascii="Times New Roman" w:hAnsi="Times New Roman" w:cs="Times New Roman"/>
          <w:color w:val="000000" w:themeColor="text1"/>
          <w:sz w:val="24"/>
          <w:szCs w:val="24"/>
        </w:rPr>
        <w:t xml:space="preserve">Documenting </w:t>
      </w:r>
      <w:r w:rsidR="001B45C3" w:rsidRPr="001433A9">
        <w:rPr>
          <w:rFonts w:ascii="Times New Roman" w:hAnsi="Times New Roman" w:cs="Times New Roman"/>
          <w:color w:val="000000" w:themeColor="text1"/>
          <w:sz w:val="24"/>
          <w:szCs w:val="24"/>
        </w:rPr>
        <w:t>participant sociodemographics in language research pertaining to LI in autistic school-age individuals</w:t>
      </w:r>
      <w:r w:rsidRPr="001433A9">
        <w:rPr>
          <w:rFonts w:ascii="Times New Roman" w:hAnsi="Times New Roman" w:cs="Times New Roman"/>
          <w:color w:val="000000" w:themeColor="text1"/>
          <w:sz w:val="24"/>
          <w:szCs w:val="24"/>
        </w:rPr>
        <w:t>.</w:t>
      </w:r>
    </w:p>
    <w:p w14:paraId="0AD7498F" w14:textId="77777777" w:rsidR="00C82253" w:rsidRPr="001433A9" w:rsidRDefault="00C82253" w:rsidP="00726BA1">
      <w:pPr>
        <w:widowControl w:val="0"/>
        <w:spacing w:line="480" w:lineRule="auto"/>
        <w:jc w:val="center"/>
        <w:rPr>
          <w:b/>
          <w:bCs/>
          <w:color w:val="000000" w:themeColor="text1"/>
        </w:rPr>
      </w:pPr>
      <w:r w:rsidRPr="001433A9">
        <w:rPr>
          <w:b/>
          <w:bCs/>
          <w:color w:val="000000" w:themeColor="text1"/>
        </w:rPr>
        <w:t>Method</w:t>
      </w:r>
    </w:p>
    <w:p w14:paraId="002DA5C2" w14:textId="5A3FA661" w:rsidR="00C82253" w:rsidRPr="001433A9" w:rsidRDefault="00C82253" w:rsidP="008039C3">
      <w:pPr>
        <w:widowControl w:val="0"/>
        <w:spacing w:line="480" w:lineRule="auto"/>
        <w:ind w:firstLine="720"/>
        <w:rPr>
          <w:color w:val="000000" w:themeColor="text1"/>
        </w:rPr>
      </w:pPr>
      <w:r w:rsidRPr="001433A9">
        <w:rPr>
          <w:color w:val="000000" w:themeColor="text1"/>
        </w:rPr>
        <w:t xml:space="preserve">The authors conducted a systematic review, preregistered with PROSPERO (CRD42021260394), of empirical studies assessing dimensions of language relevant to characterizing LI in school-age autistic individuals. Before beginning the review, the authors </w:t>
      </w:r>
      <w:r w:rsidR="0076058C" w:rsidRPr="001433A9">
        <w:rPr>
          <w:color w:val="000000" w:themeColor="text1"/>
        </w:rPr>
        <w:t xml:space="preserve">implemented the </w:t>
      </w:r>
      <w:r w:rsidRPr="001433A9">
        <w:rPr>
          <w:color w:val="000000" w:themeColor="text1"/>
        </w:rPr>
        <w:t xml:space="preserve">Preferred Reporting Items for Systematic Reviews and Meta-Analyses protocol </w:t>
      </w:r>
      <w:r w:rsidRPr="001433A9">
        <w:rPr>
          <w:noProof/>
          <w:color w:val="000000" w:themeColor="text1"/>
        </w:rPr>
        <w:t>(Page et al., 2021)</w:t>
      </w:r>
      <w:r w:rsidRPr="001433A9">
        <w:rPr>
          <w:color w:val="000000" w:themeColor="text1"/>
        </w:rPr>
        <w:t xml:space="preserve">. The current study examines the articles included in the pre-registered review </w:t>
      </w:r>
      <w:r w:rsidRPr="001433A9">
        <w:rPr>
          <w:noProof/>
          <w:color w:val="000000" w:themeColor="text1"/>
        </w:rPr>
        <w:t>(</w:t>
      </w:r>
      <w:r w:rsidR="0076058C" w:rsidRPr="001433A9">
        <w:rPr>
          <w:noProof/>
          <w:color w:val="000000" w:themeColor="text1"/>
        </w:rPr>
        <w:t xml:space="preserve">link </w:t>
      </w:r>
      <w:r w:rsidR="00073F2E" w:rsidRPr="001433A9">
        <w:rPr>
          <w:noProof/>
          <w:color w:val="000000" w:themeColor="text1"/>
        </w:rPr>
        <w:t>blinded for review</w:t>
      </w:r>
      <w:r w:rsidRPr="001433A9">
        <w:rPr>
          <w:noProof/>
          <w:color w:val="000000" w:themeColor="text1"/>
        </w:rPr>
        <w:t>)</w:t>
      </w:r>
      <w:r w:rsidR="00C83F15" w:rsidRPr="001433A9">
        <w:rPr>
          <w:color w:val="000000" w:themeColor="text1"/>
        </w:rPr>
        <w:t xml:space="preserve"> and</w:t>
      </w:r>
      <w:r w:rsidRPr="001433A9">
        <w:rPr>
          <w:color w:val="000000" w:themeColor="text1"/>
        </w:rPr>
        <w:t xml:space="preserve"> focuses on unpacking sociodemographic reporting practices and representation. The subsequent sections </w:t>
      </w:r>
      <w:r w:rsidR="00C83F15" w:rsidRPr="001433A9">
        <w:rPr>
          <w:color w:val="000000" w:themeColor="text1"/>
        </w:rPr>
        <w:t xml:space="preserve">provide </w:t>
      </w:r>
      <w:r w:rsidRPr="001433A9">
        <w:rPr>
          <w:color w:val="000000" w:themeColor="text1"/>
        </w:rPr>
        <w:t>a</w:t>
      </w:r>
      <w:r w:rsidR="00C83F15" w:rsidRPr="001433A9">
        <w:rPr>
          <w:color w:val="000000" w:themeColor="text1"/>
        </w:rPr>
        <w:t>n</w:t>
      </w:r>
      <w:r w:rsidRPr="001433A9">
        <w:rPr>
          <w:color w:val="000000" w:themeColor="text1"/>
        </w:rPr>
        <w:t xml:space="preserve"> overview of the systematic review</w:t>
      </w:r>
      <w:r w:rsidR="00262CE3" w:rsidRPr="001433A9">
        <w:rPr>
          <w:color w:val="000000" w:themeColor="text1"/>
        </w:rPr>
        <w:t xml:space="preserve"> process</w:t>
      </w:r>
      <w:r w:rsidRPr="001433A9">
        <w:rPr>
          <w:color w:val="000000" w:themeColor="text1"/>
        </w:rPr>
        <w:t xml:space="preserve"> and data extraction procedures.</w:t>
      </w:r>
    </w:p>
    <w:p w14:paraId="723CA4CF" w14:textId="77777777" w:rsidR="00C82253" w:rsidRPr="001433A9" w:rsidRDefault="00C82253" w:rsidP="00851E32">
      <w:pPr>
        <w:widowControl w:val="0"/>
        <w:spacing w:line="480" w:lineRule="auto"/>
        <w:rPr>
          <w:b/>
          <w:bCs/>
          <w:color w:val="000000" w:themeColor="text1"/>
        </w:rPr>
      </w:pPr>
      <w:r w:rsidRPr="001433A9">
        <w:rPr>
          <w:b/>
          <w:bCs/>
          <w:color w:val="000000" w:themeColor="text1"/>
        </w:rPr>
        <w:t>Search Procedures</w:t>
      </w:r>
    </w:p>
    <w:p w14:paraId="1B8B83A1" w14:textId="6AD7EB8D" w:rsidR="00C82253" w:rsidRPr="001433A9" w:rsidRDefault="00C82253" w:rsidP="00292C9F">
      <w:pPr>
        <w:widowControl w:val="0"/>
        <w:spacing w:line="480" w:lineRule="auto"/>
        <w:ind w:firstLine="720"/>
        <w:rPr>
          <w:color w:val="000000" w:themeColor="text1"/>
        </w:rPr>
      </w:pPr>
      <w:r w:rsidRPr="001433A9">
        <w:rPr>
          <w:color w:val="000000" w:themeColor="text1"/>
        </w:rPr>
        <w:t>The third author conducted database searches on August 11, 2021</w:t>
      </w:r>
      <w:r w:rsidR="00262CE3" w:rsidRPr="001433A9">
        <w:rPr>
          <w:color w:val="000000" w:themeColor="text1"/>
        </w:rPr>
        <w:t xml:space="preserve"> (</w:t>
      </w:r>
      <w:r w:rsidRPr="001433A9">
        <w:rPr>
          <w:color w:val="000000" w:themeColor="text1"/>
        </w:rPr>
        <w:t>updat</w:t>
      </w:r>
      <w:r w:rsidR="00262CE3" w:rsidRPr="001433A9">
        <w:rPr>
          <w:color w:val="000000" w:themeColor="text1"/>
        </w:rPr>
        <w:t xml:space="preserve">ing </w:t>
      </w:r>
      <w:r w:rsidRPr="001433A9">
        <w:rPr>
          <w:color w:val="000000" w:themeColor="text1"/>
        </w:rPr>
        <w:t xml:space="preserve">the three </w:t>
      </w:r>
      <w:r w:rsidR="00262CE3" w:rsidRPr="001433A9">
        <w:rPr>
          <w:color w:val="000000" w:themeColor="text1"/>
        </w:rPr>
        <w:t xml:space="preserve">primary </w:t>
      </w:r>
      <w:r w:rsidRPr="001433A9">
        <w:rPr>
          <w:color w:val="000000" w:themeColor="text1"/>
        </w:rPr>
        <w:t>databases on September 20, 2022</w:t>
      </w:r>
      <w:r w:rsidR="00262CE3" w:rsidRPr="001433A9">
        <w:rPr>
          <w:color w:val="000000" w:themeColor="text1"/>
        </w:rPr>
        <w:t>)</w:t>
      </w:r>
      <w:r w:rsidRPr="001433A9">
        <w:rPr>
          <w:color w:val="000000" w:themeColor="text1"/>
        </w:rPr>
        <w:t>. Prior to the database searches, the fourth</w:t>
      </w:r>
      <w:r w:rsidR="00262CE3" w:rsidRPr="001433A9">
        <w:rPr>
          <w:color w:val="000000" w:themeColor="text1"/>
        </w:rPr>
        <w:t xml:space="preserve"> </w:t>
      </w:r>
      <w:r w:rsidRPr="001433A9">
        <w:rPr>
          <w:color w:val="000000" w:themeColor="text1"/>
        </w:rPr>
        <w:t xml:space="preserve">author searched other sources for other published reviews and protocols, including </w:t>
      </w:r>
      <w:r w:rsidRPr="001433A9">
        <w:rPr>
          <w:i/>
          <w:color w:val="000000" w:themeColor="text1"/>
        </w:rPr>
        <w:t>Cochrane Database of Systematic Reviews</w:t>
      </w:r>
      <w:r w:rsidRPr="001433A9">
        <w:rPr>
          <w:color w:val="000000" w:themeColor="text1"/>
        </w:rPr>
        <w:t xml:space="preserve">, </w:t>
      </w:r>
      <w:r w:rsidRPr="001433A9">
        <w:rPr>
          <w:rStyle w:val="Emphasis"/>
          <w:color w:val="000000" w:themeColor="text1"/>
          <w:shd w:val="clear" w:color="auto" w:fill="FFFFFF"/>
        </w:rPr>
        <w:t>Campbell Systematic Reviews</w:t>
      </w:r>
      <w:r w:rsidRPr="001433A9">
        <w:rPr>
          <w:color w:val="000000" w:themeColor="text1"/>
        </w:rPr>
        <w:t xml:space="preserve">, </w:t>
      </w:r>
      <w:r w:rsidRPr="001433A9">
        <w:rPr>
          <w:i/>
          <w:color w:val="000000" w:themeColor="text1"/>
        </w:rPr>
        <w:t>JBI Evidence Synthesis</w:t>
      </w:r>
      <w:r w:rsidRPr="001433A9">
        <w:rPr>
          <w:color w:val="000000" w:themeColor="text1"/>
        </w:rPr>
        <w:t xml:space="preserve">, and </w:t>
      </w:r>
      <w:r w:rsidRPr="001433A9">
        <w:rPr>
          <w:i/>
          <w:iCs/>
          <w:color w:val="000000" w:themeColor="text1"/>
        </w:rPr>
        <w:t>ProQuest PsycINFO</w:t>
      </w:r>
      <w:r w:rsidR="00262CE3" w:rsidRPr="001433A9">
        <w:rPr>
          <w:color w:val="000000" w:themeColor="text1"/>
        </w:rPr>
        <w:t>;</w:t>
      </w:r>
      <w:r w:rsidRPr="001433A9">
        <w:rPr>
          <w:color w:val="000000" w:themeColor="text1"/>
        </w:rPr>
        <w:t xml:space="preserve"> </w:t>
      </w:r>
      <w:r w:rsidR="00262CE3" w:rsidRPr="001433A9">
        <w:rPr>
          <w:color w:val="000000" w:themeColor="text1"/>
        </w:rPr>
        <w:t xml:space="preserve">this </w:t>
      </w:r>
      <w:r w:rsidRPr="001433A9">
        <w:rPr>
          <w:color w:val="000000" w:themeColor="text1"/>
        </w:rPr>
        <w:t xml:space="preserve">search did not yield relevant reviews or protocols. Next, the authors developed the search strategies, reviewing test searches and using key articles to </w:t>
      </w:r>
      <w:r w:rsidR="00262CE3" w:rsidRPr="001433A9">
        <w:rPr>
          <w:color w:val="000000" w:themeColor="text1"/>
        </w:rPr>
        <w:t xml:space="preserve">evaluate search </w:t>
      </w:r>
      <w:r w:rsidRPr="001433A9">
        <w:rPr>
          <w:color w:val="000000" w:themeColor="text1"/>
        </w:rPr>
        <w:t>efficacy</w:t>
      </w:r>
      <w:r w:rsidR="00262CE3" w:rsidRPr="001433A9">
        <w:rPr>
          <w:color w:val="000000" w:themeColor="text1"/>
        </w:rPr>
        <w:t xml:space="preserve"> </w:t>
      </w:r>
      <w:r w:rsidR="00262CE3" w:rsidRPr="001433A9">
        <w:rPr>
          <w:color w:val="000000" w:themeColor="text1"/>
        </w:rPr>
        <w:lastRenderedPageBreak/>
        <w:t xml:space="preserve">and database selection </w:t>
      </w:r>
      <w:r w:rsidRPr="001433A9">
        <w:rPr>
          <w:color w:val="000000" w:themeColor="text1"/>
        </w:rPr>
        <w:t xml:space="preserve">before finalizing </w:t>
      </w:r>
      <w:r w:rsidR="00262CE3" w:rsidRPr="001433A9">
        <w:rPr>
          <w:color w:val="000000" w:themeColor="text1"/>
        </w:rPr>
        <w:t xml:space="preserve">the </w:t>
      </w:r>
      <w:r w:rsidRPr="001433A9">
        <w:rPr>
          <w:color w:val="000000" w:themeColor="text1"/>
        </w:rPr>
        <w:t>searc</w:t>
      </w:r>
      <w:r w:rsidR="00262CE3" w:rsidRPr="001433A9">
        <w:rPr>
          <w:color w:val="000000" w:themeColor="text1"/>
        </w:rPr>
        <w:t>h</w:t>
      </w:r>
      <w:r w:rsidRPr="001433A9">
        <w:rPr>
          <w:color w:val="000000" w:themeColor="text1"/>
        </w:rPr>
        <w:t xml:space="preserve">. The search included three databases: </w:t>
      </w:r>
      <w:r w:rsidRPr="001433A9">
        <w:rPr>
          <w:i/>
          <w:iCs/>
          <w:color w:val="000000" w:themeColor="text1"/>
        </w:rPr>
        <w:t>PubMed</w:t>
      </w:r>
      <w:r w:rsidRPr="001433A9">
        <w:rPr>
          <w:color w:val="000000" w:themeColor="text1"/>
        </w:rPr>
        <w:t xml:space="preserve">, </w:t>
      </w:r>
      <w:r w:rsidRPr="001433A9">
        <w:rPr>
          <w:i/>
          <w:iCs/>
          <w:color w:val="000000" w:themeColor="text1"/>
        </w:rPr>
        <w:t>ProQuest PsycINFO</w:t>
      </w:r>
      <w:r w:rsidRPr="001433A9">
        <w:rPr>
          <w:color w:val="000000" w:themeColor="text1"/>
        </w:rPr>
        <w:t xml:space="preserve"> (1806-present), and </w:t>
      </w:r>
      <w:r w:rsidRPr="001433A9">
        <w:rPr>
          <w:i/>
          <w:iCs/>
          <w:color w:val="000000" w:themeColor="text1"/>
        </w:rPr>
        <w:t>ProQuest Linguistics and Language Behavior Abstracts</w:t>
      </w:r>
      <w:r w:rsidRPr="001433A9">
        <w:rPr>
          <w:color w:val="000000" w:themeColor="text1"/>
        </w:rPr>
        <w:t xml:space="preserve"> (1973-current). </w:t>
      </w:r>
      <w:r w:rsidR="00262CE3" w:rsidRPr="001433A9">
        <w:rPr>
          <w:color w:val="000000" w:themeColor="text1"/>
        </w:rPr>
        <w:t>T</w:t>
      </w:r>
      <w:r w:rsidRPr="001433A9">
        <w:rPr>
          <w:color w:val="000000" w:themeColor="text1"/>
        </w:rPr>
        <w:t xml:space="preserve">o reduce publication bias, the fourth author searched the </w:t>
      </w:r>
      <w:r w:rsidRPr="001433A9">
        <w:rPr>
          <w:i/>
          <w:iCs/>
          <w:color w:val="000000" w:themeColor="text1"/>
        </w:rPr>
        <w:t>Directory of Open Access Journals</w:t>
      </w:r>
      <w:r w:rsidRPr="001433A9">
        <w:rPr>
          <w:color w:val="000000" w:themeColor="text1"/>
        </w:rPr>
        <w:t xml:space="preserve"> to identify grey literature on August 11, 2021. The final search</w:t>
      </w:r>
      <w:r w:rsidR="00262CE3" w:rsidRPr="001433A9">
        <w:rPr>
          <w:color w:val="000000" w:themeColor="text1"/>
        </w:rPr>
        <w:t>, not limited by language or publication year,</w:t>
      </w:r>
      <w:r w:rsidRPr="001433A9">
        <w:rPr>
          <w:color w:val="000000" w:themeColor="text1"/>
        </w:rPr>
        <w:t xml:space="preserve"> included terms related to three essential concepts: (a) autism, (b) language, and (c) age</w:t>
      </w:r>
      <w:r w:rsidR="00262CE3" w:rsidRPr="001433A9">
        <w:rPr>
          <w:color w:val="000000" w:themeColor="text1"/>
        </w:rPr>
        <w:t>.</w:t>
      </w:r>
      <w:r w:rsidRPr="001433A9">
        <w:rPr>
          <w:color w:val="000000" w:themeColor="text1"/>
        </w:rPr>
        <w:t xml:space="preserve"> Appendix </w:t>
      </w:r>
      <w:r w:rsidR="00262CE3" w:rsidRPr="001433A9">
        <w:rPr>
          <w:color w:val="000000" w:themeColor="text1"/>
        </w:rPr>
        <w:t xml:space="preserve">A presents the </w:t>
      </w:r>
      <w:r w:rsidRPr="001433A9">
        <w:rPr>
          <w:color w:val="000000" w:themeColor="text1"/>
        </w:rPr>
        <w:t>full search strateg</w:t>
      </w:r>
      <w:r w:rsidR="00262CE3" w:rsidRPr="001433A9">
        <w:rPr>
          <w:color w:val="000000" w:themeColor="text1"/>
        </w:rPr>
        <w:t>y</w:t>
      </w:r>
      <w:r w:rsidRPr="001433A9">
        <w:rPr>
          <w:color w:val="000000" w:themeColor="text1"/>
        </w:rPr>
        <w:t xml:space="preserve">. Search results were uploaded into Covidence </w:t>
      </w:r>
      <w:r w:rsidRPr="001433A9">
        <w:rPr>
          <w:noProof/>
          <w:color w:val="000000" w:themeColor="text1"/>
        </w:rPr>
        <w:t>(Veritas Health Innovation, 2021)</w:t>
      </w:r>
      <w:r w:rsidR="00262CE3" w:rsidRPr="001433A9">
        <w:rPr>
          <w:color w:val="000000" w:themeColor="text1"/>
        </w:rPr>
        <w:t xml:space="preserve"> for</w:t>
      </w:r>
      <w:r w:rsidRPr="001433A9">
        <w:rPr>
          <w:color w:val="000000" w:themeColor="text1"/>
        </w:rPr>
        <w:t xml:space="preserve"> </w:t>
      </w:r>
      <w:r w:rsidR="00262CE3" w:rsidRPr="001433A9">
        <w:rPr>
          <w:color w:val="000000" w:themeColor="text1"/>
        </w:rPr>
        <w:t>de</w:t>
      </w:r>
      <w:r w:rsidRPr="001433A9">
        <w:rPr>
          <w:color w:val="000000" w:themeColor="text1"/>
        </w:rPr>
        <w:t>duplicat</w:t>
      </w:r>
      <w:r w:rsidR="00262CE3" w:rsidRPr="001433A9">
        <w:rPr>
          <w:color w:val="000000" w:themeColor="text1"/>
        </w:rPr>
        <w:t>ion</w:t>
      </w:r>
      <w:r w:rsidRPr="001433A9">
        <w:rPr>
          <w:color w:val="000000" w:themeColor="text1"/>
        </w:rPr>
        <w:t xml:space="preserve">. The first and second authors independently screened and evaluated titles and abstracts, as well as articles for eligibility, discussing agreements until they reached consensus. </w:t>
      </w:r>
    </w:p>
    <w:p w14:paraId="52457E25" w14:textId="77777777" w:rsidR="00C82253" w:rsidRPr="001433A9" w:rsidRDefault="00C82253" w:rsidP="00851E32">
      <w:pPr>
        <w:widowControl w:val="0"/>
        <w:spacing w:line="480" w:lineRule="auto"/>
        <w:rPr>
          <w:color w:val="000000" w:themeColor="text1"/>
        </w:rPr>
      </w:pPr>
      <w:r w:rsidRPr="001433A9">
        <w:rPr>
          <w:b/>
          <w:color w:val="000000" w:themeColor="text1"/>
        </w:rPr>
        <w:t>Selection Criteria</w:t>
      </w:r>
    </w:p>
    <w:p w14:paraId="4F05364B" w14:textId="7690A551" w:rsidR="00C82253" w:rsidRPr="001433A9" w:rsidRDefault="00C82253" w:rsidP="00292C9F">
      <w:pPr>
        <w:widowControl w:val="0"/>
        <w:spacing w:line="480" w:lineRule="auto"/>
        <w:ind w:firstLine="720"/>
        <w:rPr>
          <w:color w:val="000000" w:themeColor="text1"/>
        </w:rPr>
      </w:pPr>
      <w:r w:rsidRPr="001433A9">
        <w:rPr>
          <w:color w:val="000000" w:themeColor="text1"/>
        </w:rPr>
        <w:t xml:space="preserve">This review includes empirical studies published between 1980 to 2021 in English. Given the aim of the review, the authors also included studies evaluating dimensions of language abilities relevant to LI (i.e., receptive and expressive language, vocabulary, speech sound disorder, and morphosyntax) and using at least one age-referenced assessment, </w:t>
      </w:r>
      <w:r w:rsidR="001A0A2C" w:rsidRPr="001433A9">
        <w:rPr>
          <w:color w:val="000000" w:themeColor="text1"/>
        </w:rPr>
        <w:t xml:space="preserve">to </w:t>
      </w:r>
      <w:r w:rsidR="00ED5F46" w:rsidRPr="001433A9">
        <w:rPr>
          <w:color w:val="000000" w:themeColor="text1"/>
        </w:rPr>
        <w:t>increase comparability</w:t>
      </w:r>
      <w:r w:rsidRPr="001433A9">
        <w:rPr>
          <w:color w:val="000000" w:themeColor="text1"/>
        </w:rPr>
        <w:t xml:space="preserve"> across studies. </w:t>
      </w:r>
      <w:r w:rsidR="001A0A2C" w:rsidRPr="001433A9">
        <w:rPr>
          <w:color w:val="000000" w:themeColor="text1"/>
        </w:rPr>
        <w:t>S</w:t>
      </w:r>
      <w:r w:rsidRPr="001433A9">
        <w:rPr>
          <w:color w:val="000000" w:themeColor="text1"/>
        </w:rPr>
        <w:t xml:space="preserve">tudies </w:t>
      </w:r>
      <w:r w:rsidR="001A0A2C" w:rsidRPr="001433A9">
        <w:rPr>
          <w:color w:val="000000" w:themeColor="text1"/>
        </w:rPr>
        <w:t>had</w:t>
      </w:r>
      <w:r w:rsidRPr="001433A9">
        <w:rPr>
          <w:color w:val="000000" w:themeColor="text1"/>
        </w:rPr>
        <w:t xml:space="preserve"> at least one individual </w:t>
      </w:r>
      <w:r w:rsidR="008F4982" w:rsidRPr="001433A9">
        <w:rPr>
          <w:color w:val="000000" w:themeColor="text1"/>
        </w:rPr>
        <w:t xml:space="preserve">age 3 to 21 years </w:t>
      </w:r>
      <w:r w:rsidRPr="001433A9">
        <w:rPr>
          <w:color w:val="000000" w:themeColor="text1"/>
        </w:rPr>
        <w:t xml:space="preserve">with a diagnosis of autism, inclusive of autism prior to the DSM-5 (APA, 2013). Under federal legislation in at least the United States, this is the age range </w:t>
      </w:r>
      <w:r w:rsidR="008F4982" w:rsidRPr="001433A9">
        <w:rPr>
          <w:color w:val="000000" w:themeColor="text1"/>
        </w:rPr>
        <w:t>for</w:t>
      </w:r>
      <w:r w:rsidRPr="001433A9">
        <w:rPr>
          <w:color w:val="000000" w:themeColor="text1"/>
        </w:rPr>
        <w:t xml:space="preserve"> eligib</w:t>
      </w:r>
      <w:r w:rsidR="008F4982" w:rsidRPr="001433A9">
        <w:rPr>
          <w:color w:val="000000" w:themeColor="text1"/>
        </w:rPr>
        <w:t xml:space="preserve">ility </w:t>
      </w:r>
      <w:r w:rsidRPr="001433A9">
        <w:rPr>
          <w:color w:val="000000" w:themeColor="text1"/>
        </w:rPr>
        <w:t xml:space="preserve">for school-age special education services </w:t>
      </w:r>
      <w:r w:rsidRPr="001433A9">
        <w:rPr>
          <w:noProof/>
          <w:color w:val="000000" w:themeColor="text1"/>
        </w:rPr>
        <w:t>("Individuals with Disabilities</w:t>
      </w:r>
      <w:r w:rsidR="008F4982" w:rsidRPr="001433A9">
        <w:rPr>
          <w:noProof/>
          <w:color w:val="000000" w:themeColor="text1"/>
        </w:rPr>
        <w:t xml:space="preserve"> </w:t>
      </w:r>
      <w:r w:rsidRPr="001433A9">
        <w:rPr>
          <w:noProof/>
          <w:color w:val="000000" w:themeColor="text1"/>
        </w:rPr>
        <w:t>Education Improvement Act of 2004," 2018)</w:t>
      </w:r>
      <w:proofErr w:type="gramStart"/>
      <w:r w:rsidRPr="001433A9">
        <w:rPr>
          <w:color w:val="000000" w:themeColor="text1"/>
        </w:rPr>
        <w:t xml:space="preserve">.  </w:t>
      </w:r>
      <w:proofErr w:type="gramEnd"/>
    </w:p>
    <w:p w14:paraId="36FE7E55" w14:textId="00C21D33" w:rsidR="00C82253" w:rsidRPr="001433A9" w:rsidRDefault="00C82253" w:rsidP="00292C9F">
      <w:pPr>
        <w:widowControl w:val="0"/>
        <w:spacing w:line="480" w:lineRule="auto"/>
        <w:ind w:firstLine="720"/>
        <w:rPr>
          <w:strike/>
          <w:color w:val="000000" w:themeColor="text1"/>
        </w:rPr>
      </w:pPr>
      <w:r w:rsidRPr="001433A9">
        <w:rPr>
          <w:color w:val="000000" w:themeColor="text1"/>
        </w:rPr>
        <w:t>This review excluded studies with outcome measures other than assessment (e.g.,</w:t>
      </w:r>
      <w:r w:rsidR="008F4982" w:rsidRPr="001433A9">
        <w:rPr>
          <w:color w:val="000000" w:themeColor="text1"/>
        </w:rPr>
        <w:t xml:space="preserve"> </w:t>
      </w:r>
      <w:r w:rsidRPr="001433A9">
        <w:rPr>
          <w:color w:val="000000" w:themeColor="text1"/>
        </w:rPr>
        <w:t xml:space="preserve">intervention studies) or focusing on assessment of </w:t>
      </w:r>
      <w:r w:rsidR="00FF4AFE" w:rsidRPr="001433A9">
        <w:rPr>
          <w:color w:val="000000" w:themeColor="text1"/>
        </w:rPr>
        <w:t>other non-language</w:t>
      </w:r>
      <w:r w:rsidRPr="001433A9">
        <w:rPr>
          <w:color w:val="000000" w:themeColor="text1"/>
        </w:rPr>
        <w:t xml:space="preserve"> </w:t>
      </w:r>
      <w:r w:rsidR="00FF4AFE" w:rsidRPr="001433A9">
        <w:rPr>
          <w:color w:val="000000" w:themeColor="text1"/>
        </w:rPr>
        <w:t>outcomes</w:t>
      </w:r>
      <w:r w:rsidRPr="001433A9">
        <w:rPr>
          <w:color w:val="000000" w:themeColor="text1"/>
        </w:rPr>
        <w:t>. This review also excluded studies that utilized only experimental</w:t>
      </w:r>
      <w:r w:rsidR="00FF4AFE" w:rsidRPr="001433A9">
        <w:rPr>
          <w:color w:val="000000" w:themeColor="text1"/>
        </w:rPr>
        <w:t xml:space="preserve"> </w:t>
      </w:r>
      <w:r w:rsidRPr="001433A9">
        <w:rPr>
          <w:color w:val="000000" w:themeColor="text1"/>
        </w:rPr>
        <w:t>measures, assessments in languages</w:t>
      </w:r>
      <w:r w:rsidR="00602F38" w:rsidRPr="001433A9">
        <w:rPr>
          <w:color w:val="000000" w:themeColor="text1"/>
        </w:rPr>
        <w:t xml:space="preserve"> other than English</w:t>
      </w:r>
      <w:r w:rsidRPr="001433A9">
        <w:rPr>
          <w:color w:val="000000" w:themeColor="text1"/>
        </w:rPr>
        <w:t xml:space="preserve">, </w:t>
      </w:r>
      <w:r w:rsidR="00FF4AFE" w:rsidRPr="001433A9">
        <w:rPr>
          <w:color w:val="000000" w:themeColor="text1"/>
        </w:rPr>
        <w:t xml:space="preserve">or </w:t>
      </w:r>
      <w:r w:rsidRPr="001433A9">
        <w:rPr>
          <w:color w:val="000000" w:themeColor="text1"/>
        </w:rPr>
        <w:t xml:space="preserve">assessments that used </w:t>
      </w:r>
      <w:r w:rsidR="007909BD" w:rsidRPr="001433A9">
        <w:rPr>
          <w:color w:val="000000" w:themeColor="text1"/>
        </w:rPr>
        <w:t xml:space="preserve">localized </w:t>
      </w:r>
      <w:r w:rsidRPr="001433A9">
        <w:rPr>
          <w:color w:val="000000" w:themeColor="text1"/>
        </w:rPr>
        <w:t>norms for specific variants of English (e.g., British English), as developmental trajectories may differ across language communities</w:t>
      </w:r>
      <w:r w:rsidR="00E23986" w:rsidRPr="001433A9">
        <w:rPr>
          <w:color w:val="000000" w:themeColor="text1"/>
        </w:rPr>
        <w:t xml:space="preserve"> and thus </w:t>
      </w:r>
      <w:r w:rsidR="00E23986" w:rsidRPr="001433A9">
        <w:rPr>
          <w:color w:val="000000" w:themeColor="text1"/>
        </w:rPr>
        <w:lastRenderedPageBreak/>
        <w:t xml:space="preserve">may not </w:t>
      </w:r>
      <w:r w:rsidR="000870A4" w:rsidRPr="001433A9">
        <w:rPr>
          <w:color w:val="000000" w:themeColor="text1"/>
        </w:rPr>
        <w:t>be</w:t>
      </w:r>
      <w:r w:rsidR="00E23986" w:rsidRPr="001433A9">
        <w:rPr>
          <w:color w:val="000000" w:themeColor="text1"/>
        </w:rPr>
        <w:t xml:space="preserve"> directly comparable </w:t>
      </w:r>
      <w:r w:rsidR="002B4D8F" w:rsidRPr="001433A9">
        <w:rPr>
          <w:color w:val="000000" w:themeColor="text1"/>
        </w:rPr>
        <w:t>with other assessments</w:t>
      </w:r>
      <w:r w:rsidRPr="001433A9">
        <w:rPr>
          <w:color w:val="000000" w:themeColor="text1"/>
        </w:rPr>
        <w:t>.</w:t>
      </w:r>
    </w:p>
    <w:p w14:paraId="5C4161D0" w14:textId="77777777" w:rsidR="00C82253" w:rsidRPr="001433A9" w:rsidRDefault="00C82253" w:rsidP="00851E32">
      <w:pPr>
        <w:widowControl w:val="0"/>
        <w:spacing w:line="480" w:lineRule="auto"/>
        <w:rPr>
          <w:b/>
          <w:bCs/>
          <w:color w:val="000000" w:themeColor="text1"/>
        </w:rPr>
      </w:pPr>
      <w:r w:rsidRPr="001433A9">
        <w:rPr>
          <w:b/>
          <w:bCs/>
          <w:color w:val="000000" w:themeColor="text1"/>
        </w:rPr>
        <w:t>Risk of Bias Analysis: Analysis of Reporting Practices</w:t>
      </w:r>
    </w:p>
    <w:p w14:paraId="535247B8" w14:textId="10E26C13" w:rsidR="00C82253" w:rsidRPr="001433A9" w:rsidRDefault="00C82253" w:rsidP="00851E32">
      <w:pPr>
        <w:widowControl w:val="0"/>
        <w:spacing w:line="480" w:lineRule="auto"/>
        <w:ind w:firstLine="360"/>
        <w:rPr>
          <w:color w:val="000000" w:themeColor="text1"/>
        </w:rPr>
      </w:pPr>
      <w:r w:rsidRPr="001433A9">
        <w:rPr>
          <w:color w:val="000000" w:themeColor="text1"/>
        </w:rPr>
        <w:t xml:space="preserve">To describe reporting practices in studies of LI in autism, </w:t>
      </w:r>
      <w:r w:rsidR="008522BE" w:rsidRPr="001433A9">
        <w:rPr>
          <w:color w:val="000000" w:themeColor="text1"/>
        </w:rPr>
        <w:t>we</w:t>
      </w:r>
      <w:r w:rsidRPr="001433A9">
        <w:rPr>
          <w:color w:val="000000" w:themeColor="text1"/>
        </w:rPr>
        <w:t xml:space="preserve"> appraised the risk of bias in each study</w:t>
      </w:r>
      <w:r w:rsidR="008522BE" w:rsidRPr="001433A9">
        <w:rPr>
          <w:color w:val="000000" w:themeColor="text1"/>
        </w:rPr>
        <w:t xml:space="preserve"> in accordance with </w:t>
      </w:r>
      <w:r w:rsidRPr="001433A9">
        <w:rPr>
          <w:color w:val="000000" w:themeColor="text1"/>
        </w:rPr>
        <w:t xml:space="preserve">PRISMA guidelines </w:t>
      </w:r>
      <w:r w:rsidRPr="001433A9">
        <w:rPr>
          <w:noProof/>
          <w:color w:val="000000" w:themeColor="text1"/>
        </w:rPr>
        <w:t>(Cochrane, 2022)</w:t>
      </w:r>
      <w:r w:rsidRPr="001433A9">
        <w:rPr>
          <w:color w:val="000000" w:themeColor="text1"/>
        </w:rPr>
        <w:t xml:space="preserve">. </w:t>
      </w:r>
      <w:r w:rsidR="002247C0" w:rsidRPr="001433A9">
        <w:rPr>
          <w:color w:val="000000" w:themeColor="text1"/>
        </w:rPr>
        <w:t>T</w:t>
      </w:r>
      <w:r w:rsidRPr="001433A9">
        <w:rPr>
          <w:color w:val="000000" w:themeColor="text1"/>
        </w:rPr>
        <w:t xml:space="preserve">here is no validated tool for systematic reviews like the present report. Therefore, </w:t>
      </w:r>
      <w:r w:rsidR="00853062" w:rsidRPr="001433A9">
        <w:rPr>
          <w:color w:val="000000" w:themeColor="text1"/>
        </w:rPr>
        <w:t>the authors</w:t>
      </w:r>
      <w:r w:rsidRPr="001433A9">
        <w:rPr>
          <w:color w:val="000000" w:themeColor="text1"/>
        </w:rPr>
        <w:t xml:space="preserve"> evaluated the completeness of reporting</w:t>
      </w:r>
      <w:r w:rsidR="00853062" w:rsidRPr="001433A9">
        <w:rPr>
          <w:color w:val="000000" w:themeColor="text1"/>
        </w:rPr>
        <w:t xml:space="preserve"> in terms of </w:t>
      </w:r>
      <w:r w:rsidRPr="001433A9">
        <w:rPr>
          <w:color w:val="000000" w:themeColor="text1"/>
        </w:rPr>
        <w:t xml:space="preserve">race, ethnicity, gender and sex, and SES of autistic participants </w:t>
      </w:r>
      <w:r w:rsidRPr="001433A9">
        <w:rPr>
          <w:noProof/>
          <w:color w:val="000000" w:themeColor="text1"/>
        </w:rPr>
        <w:t>(Viswanathan et al., 2012)</w:t>
      </w:r>
      <w:r w:rsidRPr="001433A9">
        <w:rPr>
          <w:color w:val="000000" w:themeColor="text1"/>
        </w:rPr>
        <w:t xml:space="preserve">. </w:t>
      </w:r>
      <w:r w:rsidR="00C255A1" w:rsidRPr="001433A9">
        <w:rPr>
          <w:color w:val="000000" w:themeColor="text1"/>
        </w:rPr>
        <w:t>Coders</w:t>
      </w:r>
      <w:r w:rsidRPr="001433A9">
        <w:rPr>
          <w:color w:val="000000" w:themeColor="text1"/>
        </w:rPr>
        <w:t xml:space="preserve"> rated studies on these participant characteristics and calculated the percentage of studies receiving a high-quality rating (inclusive of studies which did not report this information):</w:t>
      </w:r>
    </w:p>
    <w:p w14:paraId="79935A8A" w14:textId="5547AAA8" w:rsidR="00714A87" w:rsidRPr="001433A9" w:rsidRDefault="00C82253" w:rsidP="00292C9F">
      <w:pPr>
        <w:pStyle w:val="ListParagraph"/>
        <w:widowControl w:val="0"/>
        <w:numPr>
          <w:ilvl w:val="0"/>
          <w:numId w:val="7"/>
        </w:numPr>
        <w:spacing w:line="480" w:lineRule="auto"/>
        <w:rPr>
          <w:rFonts w:ascii="Times New Roman" w:hAnsi="Times New Roman" w:cs="Times New Roman"/>
          <w:color w:val="000000" w:themeColor="text1"/>
          <w:sz w:val="24"/>
          <w:szCs w:val="24"/>
        </w:rPr>
      </w:pPr>
      <w:r w:rsidRPr="001433A9">
        <w:rPr>
          <w:rFonts w:ascii="Times New Roman" w:hAnsi="Times New Roman" w:cs="Times New Roman"/>
          <w:b/>
          <w:bCs/>
          <w:color w:val="000000" w:themeColor="text1"/>
          <w:sz w:val="24"/>
          <w:szCs w:val="24"/>
        </w:rPr>
        <w:t>Race</w:t>
      </w:r>
      <w:r w:rsidRPr="001433A9">
        <w:rPr>
          <w:rFonts w:ascii="Times New Roman" w:hAnsi="Times New Roman" w:cs="Times New Roman"/>
          <w:color w:val="000000" w:themeColor="text1"/>
          <w:sz w:val="24"/>
          <w:szCs w:val="24"/>
        </w:rPr>
        <w:t>: Studies providing information on participant race received a high</w:t>
      </w:r>
      <w:r w:rsidR="00ED5F46" w:rsidRPr="001433A9">
        <w:rPr>
          <w:rFonts w:ascii="Times New Roman" w:hAnsi="Times New Roman" w:cs="Times New Roman"/>
          <w:color w:val="000000" w:themeColor="text1"/>
          <w:sz w:val="24"/>
          <w:szCs w:val="24"/>
        </w:rPr>
        <w:t>-</w:t>
      </w:r>
      <w:r w:rsidRPr="001433A9">
        <w:rPr>
          <w:rFonts w:ascii="Times New Roman" w:hAnsi="Times New Roman" w:cs="Times New Roman"/>
          <w:color w:val="000000" w:themeColor="text1"/>
          <w:sz w:val="24"/>
          <w:szCs w:val="24"/>
        </w:rPr>
        <w:t>quality rating,</w:t>
      </w:r>
      <w:r w:rsidR="00714A87" w:rsidRPr="001433A9">
        <w:rPr>
          <w:rFonts w:ascii="Times New Roman" w:hAnsi="Times New Roman" w:cs="Times New Roman"/>
          <w:color w:val="000000" w:themeColor="text1"/>
          <w:sz w:val="24"/>
          <w:szCs w:val="24"/>
        </w:rPr>
        <w:t xml:space="preserve"> </w:t>
      </w:r>
      <w:r w:rsidRPr="001433A9">
        <w:rPr>
          <w:rFonts w:ascii="Times New Roman" w:hAnsi="Times New Roman" w:cs="Times New Roman"/>
          <w:color w:val="000000" w:themeColor="text1"/>
          <w:sz w:val="24"/>
          <w:szCs w:val="24"/>
        </w:rPr>
        <w:t xml:space="preserve">following the </w:t>
      </w:r>
      <w:r w:rsidR="00714A87" w:rsidRPr="001433A9">
        <w:rPr>
          <w:rFonts w:ascii="Times New Roman" w:hAnsi="Times New Roman" w:cs="Times New Roman"/>
          <w:color w:val="000000" w:themeColor="text1"/>
          <w:sz w:val="24"/>
          <w:szCs w:val="24"/>
        </w:rPr>
        <w:t xml:space="preserve">NIH </w:t>
      </w:r>
      <w:r w:rsidRPr="001433A9">
        <w:rPr>
          <w:rFonts w:ascii="Times New Roman" w:hAnsi="Times New Roman" w:cs="Times New Roman"/>
          <w:color w:val="000000" w:themeColor="text1"/>
          <w:sz w:val="24"/>
          <w:szCs w:val="24"/>
        </w:rPr>
        <w:t>minimum;</w:t>
      </w:r>
    </w:p>
    <w:p w14:paraId="1FD118FC" w14:textId="3EC03FD7" w:rsidR="00C82253" w:rsidRPr="001433A9" w:rsidRDefault="00C82253" w:rsidP="00292C9F">
      <w:pPr>
        <w:pStyle w:val="ListParagraph"/>
        <w:widowControl w:val="0"/>
        <w:numPr>
          <w:ilvl w:val="0"/>
          <w:numId w:val="7"/>
        </w:numPr>
        <w:spacing w:line="480" w:lineRule="auto"/>
        <w:rPr>
          <w:rFonts w:ascii="Times New Roman" w:hAnsi="Times New Roman" w:cs="Times New Roman"/>
          <w:color w:val="000000" w:themeColor="text1"/>
          <w:sz w:val="24"/>
          <w:szCs w:val="24"/>
        </w:rPr>
      </w:pPr>
      <w:r w:rsidRPr="001433A9">
        <w:rPr>
          <w:rFonts w:ascii="Times New Roman" w:hAnsi="Times New Roman" w:cs="Times New Roman"/>
          <w:b/>
          <w:bCs/>
          <w:color w:val="000000" w:themeColor="text1"/>
          <w:sz w:val="24"/>
          <w:szCs w:val="24"/>
        </w:rPr>
        <w:t>Ethnicity</w:t>
      </w:r>
      <w:r w:rsidRPr="001433A9">
        <w:rPr>
          <w:rFonts w:ascii="Times New Roman" w:hAnsi="Times New Roman" w:cs="Times New Roman"/>
          <w:color w:val="000000" w:themeColor="text1"/>
          <w:sz w:val="24"/>
          <w:szCs w:val="24"/>
        </w:rPr>
        <w:t>: Studies providing information on participant ethnicity received a high</w:t>
      </w:r>
      <w:r w:rsidR="00ED5F46" w:rsidRPr="001433A9">
        <w:rPr>
          <w:rFonts w:ascii="Times New Roman" w:hAnsi="Times New Roman" w:cs="Times New Roman"/>
          <w:color w:val="000000" w:themeColor="text1"/>
          <w:sz w:val="24"/>
          <w:szCs w:val="24"/>
        </w:rPr>
        <w:t>-</w:t>
      </w:r>
      <w:r w:rsidRPr="001433A9">
        <w:rPr>
          <w:rFonts w:ascii="Times New Roman" w:hAnsi="Times New Roman" w:cs="Times New Roman"/>
          <w:color w:val="000000" w:themeColor="text1"/>
          <w:sz w:val="24"/>
          <w:szCs w:val="24"/>
        </w:rPr>
        <w:t>quality</w:t>
      </w:r>
      <w:r w:rsidR="00714A87" w:rsidRPr="001433A9">
        <w:rPr>
          <w:rFonts w:ascii="Times New Roman" w:hAnsi="Times New Roman" w:cs="Times New Roman"/>
          <w:color w:val="000000" w:themeColor="text1"/>
          <w:sz w:val="24"/>
          <w:szCs w:val="24"/>
        </w:rPr>
        <w:t xml:space="preserve"> </w:t>
      </w:r>
      <w:r w:rsidRPr="001433A9">
        <w:rPr>
          <w:rFonts w:ascii="Times New Roman" w:hAnsi="Times New Roman" w:cs="Times New Roman"/>
          <w:color w:val="000000" w:themeColor="text1"/>
          <w:sz w:val="24"/>
          <w:szCs w:val="24"/>
        </w:rPr>
        <w:t>rating, following the bare minimum set by NIH;</w:t>
      </w:r>
    </w:p>
    <w:p w14:paraId="33B83E02" w14:textId="08E07042" w:rsidR="00C82253" w:rsidRPr="001433A9" w:rsidRDefault="00C82253" w:rsidP="00292C9F">
      <w:pPr>
        <w:pStyle w:val="ListParagraph"/>
        <w:widowControl w:val="0"/>
        <w:numPr>
          <w:ilvl w:val="0"/>
          <w:numId w:val="7"/>
        </w:numPr>
        <w:spacing w:line="480" w:lineRule="auto"/>
        <w:rPr>
          <w:rFonts w:ascii="Times New Roman" w:hAnsi="Times New Roman" w:cs="Times New Roman"/>
          <w:color w:val="000000" w:themeColor="text1"/>
          <w:sz w:val="24"/>
          <w:szCs w:val="24"/>
        </w:rPr>
      </w:pPr>
      <w:r w:rsidRPr="001433A9">
        <w:rPr>
          <w:rFonts w:ascii="Times New Roman" w:hAnsi="Times New Roman" w:cs="Times New Roman"/>
          <w:b/>
          <w:bCs/>
          <w:color w:val="000000" w:themeColor="text1"/>
          <w:sz w:val="24"/>
          <w:szCs w:val="24"/>
        </w:rPr>
        <w:t>Gender, gender identity, and sex</w:t>
      </w:r>
      <w:r w:rsidRPr="001433A9">
        <w:rPr>
          <w:rFonts w:ascii="Times New Roman" w:hAnsi="Times New Roman" w:cs="Times New Roman"/>
          <w:color w:val="000000" w:themeColor="text1"/>
          <w:sz w:val="24"/>
          <w:szCs w:val="24"/>
        </w:rPr>
        <w:t>: Studies providing precise information on participant</w:t>
      </w:r>
      <w:r w:rsidR="00714A87" w:rsidRPr="001433A9">
        <w:rPr>
          <w:rFonts w:ascii="Times New Roman" w:hAnsi="Times New Roman" w:cs="Times New Roman"/>
          <w:color w:val="000000" w:themeColor="text1"/>
          <w:sz w:val="24"/>
          <w:szCs w:val="24"/>
        </w:rPr>
        <w:t xml:space="preserve"> </w:t>
      </w:r>
      <w:r w:rsidRPr="001433A9">
        <w:rPr>
          <w:rFonts w:ascii="Times New Roman" w:hAnsi="Times New Roman" w:cs="Times New Roman"/>
          <w:color w:val="000000" w:themeColor="text1"/>
          <w:sz w:val="24"/>
          <w:szCs w:val="24"/>
        </w:rPr>
        <w:t>gender, gender identity, or sex (i.e., specified whether they provided information on any</w:t>
      </w:r>
      <w:r w:rsidR="00714A87" w:rsidRPr="001433A9">
        <w:rPr>
          <w:rFonts w:ascii="Times New Roman" w:hAnsi="Times New Roman" w:cs="Times New Roman"/>
          <w:color w:val="000000" w:themeColor="text1"/>
          <w:sz w:val="24"/>
          <w:szCs w:val="24"/>
        </w:rPr>
        <w:t xml:space="preserve"> </w:t>
      </w:r>
      <w:r w:rsidRPr="001433A9">
        <w:rPr>
          <w:rFonts w:ascii="Times New Roman" w:hAnsi="Times New Roman" w:cs="Times New Roman"/>
          <w:color w:val="000000" w:themeColor="text1"/>
          <w:sz w:val="24"/>
          <w:szCs w:val="24"/>
        </w:rPr>
        <w:t>of these variables, as well as specific information) received a high</w:t>
      </w:r>
      <w:r w:rsidR="00ED5F46" w:rsidRPr="001433A9">
        <w:rPr>
          <w:rFonts w:ascii="Times New Roman" w:hAnsi="Times New Roman" w:cs="Times New Roman"/>
          <w:color w:val="000000" w:themeColor="text1"/>
          <w:sz w:val="24"/>
          <w:szCs w:val="24"/>
        </w:rPr>
        <w:t>-</w:t>
      </w:r>
      <w:r w:rsidRPr="001433A9">
        <w:rPr>
          <w:rFonts w:ascii="Times New Roman" w:hAnsi="Times New Roman" w:cs="Times New Roman"/>
          <w:color w:val="000000" w:themeColor="text1"/>
          <w:sz w:val="24"/>
          <w:szCs w:val="24"/>
        </w:rPr>
        <w:t xml:space="preserve">quality rating; </w:t>
      </w:r>
    </w:p>
    <w:p w14:paraId="3E2FB0FD" w14:textId="443DAAE4" w:rsidR="00C82253" w:rsidRPr="001433A9" w:rsidRDefault="00C82253" w:rsidP="00292C9F">
      <w:pPr>
        <w:pStyle w:val="ListParagraph"/>
        <w:widowControl w:val="0"/>
        <w:numPr>
          <w:ilvl w:val="0"/>
          <w:numId w:val="7"/>
        </w:numPr>
        <w:spacing w:after="0" w:line="480" w:lineRule="auto"/>
        <w:rPr>
          <w:rFonts w:ascii="Times New Roman" w:hAnsi="Times New Roman" w:cs="Times New Roman"/>
          <w:color w:val="000000" w:themeColor="text1"/>
          <w:sz w:val="24"/>
          <w:szCs w:val="24"/>
        </w:rPr>
      </w:pPr>
      <w:r w:rsidRPr="001433A9">
        <w:rPr>
          <w:rFonts w:ascii="Times New Roman" w:hAnsi="Times New Roman" w:cs="Times New Roman"/>
          <w:b/>
          <w:bCs/>
          <w:color w:val="000000" w:themeColor="text1"/>
          <w:sz w:val="24"/>
          <w:szCs w:val="24"/>
        </w:rPr>
        <w:t>SES</w:t>
      </w:r>
      <w:r w:rsidRPr="001433A9">
        <w:rPr>
          <w:rFonts w:ascii="Times New Roman" w:hAnsi="Times New Roman" w:cs="Times New Roman"/>
          <w:color w:val="000000" w:themeColor="text1"/>
          <w:sz w:val="24"/>
          <w:szCs w:val="24"/>
        </w:rPr>
        <w:t>: Studies reporting participant SES using more than one indicator received a hig</w:t>
      </w:r>
      <w:r w:rsidR="00ED5F46" w:rsidRPr="001433A9">
        <w:rPr>
          <w:rFonts w:ascii="Times New Roman" w:hAnsi="Times New Roman" w:cs="Times New Roman"/>
          <w:color w:val="000000" w:themeColor="text1"/>
          <w:sz w:val="24"/>
          <w:szCs w:val="24"/>
        </w:rPr>
        <w:t>h-</w:t>
      </w:r>
      <w:r w:rsidR="00714A87" w:rsidRPr="001433A9">
        <w:rPr>
          <w:rFonts w:ascii="Times New Roman" w:hAnsi="Times New Roman" w:cs="Times New Roman"/>
          <w:color w:val="000000" w:themeColor="text1"/>
          <w:sz w:val="24"/>
          <w:szCs w:val="24"/>
        </w:rPr>
        <w:t xml:space="preserve"> </w:t>
      </w:r>
      <w:r w:rsidRPr="001433A9">
        <w:rPr>
          <w:rFonts w:ascii="Times New Roman" w:hAnsi="Times New Roman" w:cs="Times New Roman"/>
          <w:color w:val="000000" w:themeColor="text1"/>
          <w:sz w:val="24"/>
          <w:szCs w:val="24"/>
        </w:rPr>
        <w:t>quality rating.</w:t>
      </w:r>
    </w:p>
    <w:p w14:paraId="46A5A0B8" w14:textId="77777777" w:rsidR="00C82253" w:rsidRPr="001433A9" w:rsidRDefault="00C82253" w:rsidP="00851E32">
      <w:pPr>
        <w:widowControl w:val="0"/>
        <w:spacing w:line="480" w:lineRule="auto"/>
        <w:rPr>
          <w:b/>
          <w:bCs/>
          <w:color w:val="000000" w:themeColor="text1"/>
        </w:rPr>
      </w:pPr>
      <w:r w:rsidRPr="001433A9">
        <w:rPr>
          <w:b/>
          <w:bCs/>
          <w:color w:val="000000" w:themeColor="text1"/>
        </w:rPr>
        <w:t>Data Extraction and Synthesis</w:t>
      </w:r>
    </w:p>
    <w:p w14:paraId="16065E66" w14:textId="4512D428" w:rsidR="00C82253" w:rsidRPr="001433A9" w:rsidRDefault="00C82253" w:rsidP="00292C9F">
      <w:pPr>
        <w:widowControl w:val="0"/>
        <w:spacing w:line="480" w:lineRule="auto"/>
        <w:ind w:firstLine="720"/>
        <w:rPr>
          <w:color w:val="000000" w:themeColor="text1"/>
        </w:rPr>
      </w:pPr>
      <w:r w:rsidRPr="001433A9">
        <w:rPr>
          <w:color w:val="000000" w:themeColor="text1"/>
        </w:rPr>
        <w:t>To address the second research question, the authors analyzed studies in terms of</w:t>
      </w:r>
      <w:r w:rsidR="00714A87" w:rsidRPr="001433A9">
        <w:rPr>
          <w:color w:val="000000" w:themeColor="text1"/>
        </w:rPr>
        <w:t xml:space="preserve"> </w:t>
      </w:r>
      <w:r w:rsidRPr="001433A9">
        <w:rPr>
          <w:color w:val="000000" w:themeColor="text1"/>
        </w:rPr>
        <w:t xml:space="preserve">autistic participant sociodemographic representation. Given the </w:t>
      </w:r>
      <w:r w:rsidR="002427AB" w:rsidRPr="001433A9">
        <w:rPr>
          <w:color w:val="000000" w:themeColor="text1"/>
        </w:rPr>
        <w:t>scope</w:t>
      </w:r>
      <w:r w:rsidRPr="001433A9">
        <w:rPr>
          <w:color w:val="000000" w:themeColor="text1"/>
        </w:rPr>
        <w:t xml:space="preserve"> of this review, data extraction and synthesis did not consider the demographics of non-autistic participants. The first and second author</w:t>
      </w:r>
      <w:r w:rsidR="00714A87" w:rsidRPr="001433A9">
        <w:rPr>
          <w:color w:val="000000" w:themeColor="text1"/>
        </w:rPr>
        <w:t>s</w:t>
      </w:r>
      <w:r w:rsidRPr="001433A9">
        <w:rPr>
          <w:color w:val="000000" w:themeColor="text1"/>
        </w:rPr>
        <w:t xml:space="preserve"> extracted and synthesized data in Covidence </w:t>
      </w:r>
      <w:r w:rsidRPr="001433A9">
        <w:rPr>
          <w:noProof/>
          <w:color w:val="000000" w:themeColor="text1"/>
        </w:rPr>
        <w:t>(Veritas Health Innovation, 2021)</w:t>
      </w:r>
      <w:r w:rsidRPr="001433A9">
        <w:rPr>
          <w:color w:val="000000" w:themeColor="text1"/>
        </w:rPr>
        <w:t xml:space="preserve">, </w:t>
      </w:r>
      <w:r w:rsidRPr="001433A9">
        <w:rPr>
          <w:color w:val="000000" w:themeColor="text1"/>
        </w:rPr>
        <w:lastRenderedPageBreak/>
        <w:t>discussing disagreements until they reached consensus. Outcomes were percentages of participants for racial categories,</w:t>
      </w:r>
      <w:r w:rsidR="00714A87" w:rsidRPr="001433A9">
        <w:rPr>
          <w:color w:val="000000" w:themeColor="text1"/>
        </w:rPr>
        <w:t xml:space="preserve"> </w:t>
      </w:r>
      <w:r w:rsidRPr="001433A9">
        <w:rPr>
          <w:color w:val="000000" w:themeColor="text1"/>
        </w:rPr>
        <w:t>ethnicity categories, gender and sex categories, SES indicators, and SES distribution.</w:t>
      </w:r>
    </w:p>
    <w:p w14:paraId="72860731" w14:textId="1A8A76CF" w:rsidR="004D5518" w:rsidRPr="001433A9" w:rsidRDefault="004D5518" w:rsidP="00851E32">
      <w:pPr>
        <w:widowControl w:val="0"/>
        <w:spacing w:line="480" w:lineRule="auto"/>
        <w:rPr>
          <w:b/>
          <w:bCs/>
          <w:i/>
          <w:iCs/>
          <w:color w:val="000000" w:themeColor="text1"/>
        </w:rPr>
      </w:pPr>
      <w:r w:rsidRPr="001433A9">
        <w:rPr>
          <w:b/>
          <w:bCs/>
          <w:i/>
          <w:iCs/>
          <w:color w:val="000000" w:themeColor="text1"/>
        </w:rPr>
        <w:t>Community Involvement</w:t>
      </w:r>
    </w:p>
    <w:p w14:paraId="59A94AEC" w14:textId="0B99A06F" w:rsidR="00F80075" w:rsidRPr="001433A9" w:rsidRDefault="004D5518" w:rsidP="00851E32">
      <w:pPr>
        <w:widowControl w:val="0"/>
        <w:spacing w:line="480" w:lineRule="auto"/>
        <w:rPr>
          <w:color w:val="000000" w:themeColor="text1"/>
        </w:rPr>
      </w:pPr>
      <w:r w:rsidRPr="001433A9">
        <w:rPr>
          <w:color w:val="000000" w:themeColor="text1"/>
        </w:rPr>
        <w:tab/>
        <w:t xml:space="preserve">This systematic review included </w:t>
      </w:r>
      <w:r w:rsidR="00C6251E" w:rsidRPr="001433A9">
        <w:rPr>
          <w:color w:val="000000" w:themeColor="text1"/>
        </w:rPr>
        <w:t xml:space="preserve">REM </w:t>
      </w:r>
      <w:r w:rsidRPr="001433A9">
        <w:rPr>
          <w:color w:val="000000" w:themeColor="text1"/>
        </w:rPr>
        <w:t xml:space="preserve">external reviewers varying in their relationship to autism research and practice, including practitioners. </w:t>
      </w:r>
      <w:r w:rsidR="00ED5F19" w:rsidRPr="001433A9">
        <w:rPr>
          <w:color w:val="000000" w:themeColor="text1"/>
        </w:rPr>
        <w:t>T</w:t>
      </w:r>
      <w:r w:rsidRPr="001433A9">
        <w:rPr>
          <w:color w:val="000000" w:themeColor="text1"/>
        </w:rPr>
        <w:t xml:space="preserve">he research team included </w:t>
      </w:r>
      <w:r w:rsidR="00ED5F19" w:rsidRPr="001433A9">
        <w:rPr>
          <w:color w:val="000000" w:themeColor="text1"/>
        </w:rPr>
        <w:t xml:space="preserve">autistic and </w:t>
      </w:r>
      <w:r w:rsidR="00F80075" w:rsidRPr="001433A9">
        <w:rPr>
          <w:color w:val="000000" w:themeColor="text1"/>
        </w:rPr>
        <w:t xml:space="preserve">neurodivergent REM and REM parents of school-age autistic children (who were also REM) who supported the publication and dissemination of this review. </w:t>
      </w:r>
    </w:p>
    <w:p w14:paraId="0D602ADA" w14:textId="77777777" w:rsidR="00C82253" w:rsidRPr="001433A9" w:rsidRDefault="00C82253" w:rsidP="00851E32">
      <w:pPr>
        <w:widowControl w:val="0"/>
        <w:spacing w:line="480" w:lineRule="auto"/>
        <w:jc w:val="center"/>
        <w:rPr>
          <w:b/>
          <w:bCs/>
          <w:color w:val="000000" w:themeColor="text1"/>
        </w:rPr>
      </w:pPr>
      <w:r w:rsidRPr="001433A9">
        <w:rPr>
          <w:b/>
          <w:bCs/>
          <w:color w:val="000000" w:themeColor="text1"/>
        </w:rPr>
        <w:t>Results</w:t>
      </w:r>
    </w:p>
    <w:p w14:paraId="3D589EB9" w14:textId="77777777" w:rsidR="00C82253" w:rsidRPr="001433A9" w:rsidRDefault="00C82253" w:rsidP="00851E32">
      <w:pPr>
        <w:widowControl w:val="0"/>
        <w:spacing w:line="480" w:lineRule="auto"/>
        <w:rPr>
          <w:b/>
          <w:bCs/>
          <w:color w:val="000000" w:themeColor="text1"/>
        </w:rPr>
      </w:pPr>
      <w:r w:rsidRPr="001433A9">
        <w:rPr>
          <w:b/>
          <w:bCs/>
          <w:color w:val="000000" w:themeColor="text1"/>
        </w:rPr>
        <w:t>Study Selection</w:t>
      </w:r>
    </w:p>
    <w:p w14:paraId="0BCDFB86" w14:textId="4B3DAB63" w:rsidR="00C82253" w:rsidRDefault="00C82253" w:rsidP="00292C9F">
      <w:pPr>
        <w:widowControl w:val="0"/>
        <w:spacing w:line="480" w:lineRule="auto"/>
        <w:ind w:firstLine="720"/>
        <w:rPr>
          <w:color w:val="000000" w:themeColor="text1"/>
        </w:rPr>
      </w:pPr>
      <w:r w:rsidRPr="001433A9">
        <w:rPr>
          <w:color w:val="000000" w:themeColor="text1"/>
        </w:rPr>
        <w:t>Searches yielded 7913 records from databases; see Figure 1. After removing 2050 duplicates, screening 5863 studies against title and abstract led to the exclusion of 5735 studies. The remaining 128 studies were assessed for full-text eligibility, with exclusion for various reasons: published in a language other than English (</w:t>
      </w:r>
      <w:r w:rsidRPr="001433A9">
        <w:rPr>
          <w:i/>
          <w:iCs/>
          <w:color w:val="000000" w:themeColor="text1"/>
        </w:rPr>
        <w:t xml:space="preserve">n </w:t>
      </w:r>
      <w:r w:rsidRPr="001433A9">
        <w:rPr>
          <w:color w:val="000000" w:themeColor="text1"/>
        </w:rPr>
        <w:t xml:space="preserve">= 24), used language measures with norms other than American English (e.g., Australian or British English; </w:t>
      </w:r>
      <w:r w:rsidRPr="001433A9">
        <w:rPr>
          <w:i/>
          <w:iCs/>
          <w:color w:val="000000" w:themeColor="text1"/>
        </w:rPr>
        <w:t xml:space="preserve">n </w:t>
      </w:r>
      <w:r w:rsidRPr="001433A9">
        <w:rPr>
          <w:color w:val="000000" w:themeColor="text1"/>
        </w:rPr>
        <w:t xml:space="preserve">= 14), no use of age-referenced language assessments (i.e., experimental measures only; </w:t>
      </w:r>
      <w:r w:rsidRPr="001433A9">
        <w:rPr>
          <w:i/>
          <w:iCs/>
          <w:color w:val="000000" w:themeColor="text1"/>
        </w:rPr>
        <w:t xml:space="preserve">n </w:t>
      </w:r>
      <w:r w:rsidRPr="001433A9">
        <w:rPr>
          <w:color w:val="000000" w:themeColor="text1"/>
        </w:rPr>
        <w:t xml:space="preserve">= 14), primary outcome other than language (e.g., neuroimaging; </w:t>
      </w:r>
      <w:r w:rsidRPr="001433A9">
        <w:rPr>
          <w:i/>
          <w:iCs/>
          <w:color w:val="000000" w:themeColor="text1"/>
        </w:rPr>
        <w:t xml:space="preserve">n </w:t>
      </w:r>
      <w:r w:rsidRPr="001433A9">
        <w:rPr>
          <w:color w:val="000000" w:themeColor="text1"/>
        </w:rPr>
        <w:t xml:space="preserve">= 13), insufficient information for inclusion (e.g., no inclusion of diagnostic labels; </w:t>
      </w:r>
      <w:r w:rsidRPr="001433A9">
        <w:rPr>
          <w:i/>
          <w:iCs/>
          <w:color w:val="000000" w:themeColor="text1"/>
        </w:rPr>
        <w:t xml:space="preserve">n </w:t>
      </w:r>
      <w:r w:rsidRPr="001433A9">
        <w:rPr>
          <w:color w:val="000000" w:themeColor="text1"/>
        </w:rPr>
        <w:t xml:space="preserve">= 2), and non-observational study design (e.g., intervention; </w:t>
      </w:r>
      <w:r w:rsidRPr="001433A9">
        <w:rPr>
          <w:i/>
          <w:iCs/>
          <w:color w:val="000000" w:themeColor="text1"/>
        </w:rPr>
        <w:t xml:space="preserve">n </w:t>
      </w:r>
      <w:r w:rsidRPr="001433A9">
        <w:rPr>
          <w:color w:val="000000" w:themeColor="text1"/>
        </w:rPr>
        <w:t>=</w:t>
      </w:r>
      <w:r w:rsidR="00293419" w:rsidRPr="001433A9">
        <w:rPr>
          <w:color w:val="000000" w:themeColor="text1"/>
        </w:rPr>
        <w:t xml:space="preserve"> </w:t>
      </w:r>
      <w:r w:rsidRPr="001433A9">
        <w:rPr>
          <w:color w:val="000000" w:themeColor="text1"/>
        </w:rPr>
        <w:t>1). The 60 studies that qualified for the final review included 8204 autistic individuals, with</w:t>
      </w:r>
      <w:r w:rsidR="00293419" w:rsidRPr="001433A9">
        <w:rPr>
          <w:color w:val="000000" w:themeColor="text1"/>
        </w:rPr>
        <w:t xml:space="preserve"> </w:t>
      </w:r>
      <w:r w:rsidRPr="001433A9">
        <w:rPr>
          <w:color w:val="000000" w:themeColor="text1"/>
        </w:rPr>
        <w:t xml:space="preserve">sample sizes ranging from 1 to 2047 participants. </w:t>
      </w:r>
    </w:p>
    <w:p w14:paraId="1FD13E15" w14:textId="71F3586F" w:rsidR="00B55202" w:rsidRPr="00B55202" w:rsidRDefault="00A04378" w:rsidP="00B55202">
      <w:pPr>
        <w:widowControl w:val="0"/>
        <w:spacing w:line="480" w:lineRule="auto"/>
        <w:ind w:firstLine="720"/>
        <w:rPr>
          <w:color w:val="000000" w:themeColor="text1"/>
        </w:rPr>
      </w:pPr>
      <w:r>
        <w:rPr>
          <w:noProof/>
          <w:color w:val="000000" w:themeColor="text1"/>
        </w:rPr>
        <w:object w:dxaOrig="17200" w:dyaOrig="9180" w14:anchorId="4D6789C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 style="width:859.95pt;height:459.05pt;mso-width-percent:0;mso-height-percent:0;mso-width-percent:0;mso-height-percent:0" o:ole="">
            <v:imagedata r:id="rId7" o:title=""/>
          </v:shape>
          <o:OLEObject Type="Embed" ProgID="Word.Document.12" ShapeID="_x0000_i1028" DrawAspect="Content" ObjectID="_1739465464" r:id="rId8">
            <o:FieldCodes>\s</o:FieldCodes>
          </o:OLEObject>
        </w:object>
      </w:r>
    </w:p>
    <w:p w14:paraId="28368942" w14:textId="7ED1B5D0" w:rsidR="00B55202" w:rsidRPr="001433A9" w:rsidRDefault="00B55202" w:rsidP="00B55202">
      <w:pPr>
        <w:pStyle w:val="Caption"/>
        <w:jc w:val="center"/>
        <w:rPr>
          <w:color w:val="000000" w:themeColor="text1"/>
        </w:rPr>
      </w:pPr>
      <w:r>
        <w:t xml:space="preserve">Figure </w:t>
      </w:r>
      <w:fldSimple w:instr=" SEQ Figure \* ARABIC ">
        <w:r>
          <w:rPr>
            <w:noProof/>
          </w:rPr>
          <w:t>1</w:t>
        </w:r>
      </w:fldSimple>
      <w:r>
        <w:t>. PRISMA flowchart (Page et al., 2021)</w:t>
      </w:r>
    </w:p>
    <w:p w14:paraId="710481A1" w14:textId="77777777" w:rsidR="00C82253" w:rsidRPr="001433A9" w:rsidRDefault="00C82253" w:rsidP="00851E32">
      <w:pPr>
        <w:widowControl w:val="0"/>
        <w:spacing w:line="480" w:lineRule="auto"/>
        <w:rPr>
          <w:b/>
          <w:bCs/>
          <w:color w:val="000000" w:themeColor="text1"/>
        </w:rPr>
      </w:pPr>
      <w:r w:rsidRPr="001433A9">
        <w:rPr>
          <w:b/>
          <w:bCs/>
          <w:color w:val="000000" w:themeColor="text1"/>
        </w:rPr>
        <w:t>Risk of Bias Analysis: Reporting Practices of Participant Sociodemographics</w:t>
      </w:r>
    </w:p>
    <w:p w14:paraId="2E29069F" w14:textId="6841B1B7" w:rsidR="00B56688" w:rsidRDefault="00C82253" w:rsidP="00292C9F">
      <w:pPr>
        <w:widowControl w:val="0"/>
        <w:spacing w:line="480" w:lineRule="auto"/>
        <w:ind w:firstLine="720"/>
        <w:rPr>
          <w:color w:val="000000" w:themeColor="text1"/>
        </w:rPr>
      </w:pPr>
      <w:r w:rsidRPr="001433A9">
        <w:rPr>
          <w:color w:val="000000" w:themeColor="text1"/>
        </w:rPr>
        <w:t xml:space="preserve">Overall, few studies followed </w:t>
      </w:r>
      <w:r w:rsidR="00E317E7" w:rsidRPr="001433A9">
        <w:rPr>
          <w:color w:val="000000" w:themeColor="text1"/>
        </w:rPr>
        <w:t xml:space="preserve">the </w:t>
      </w:r>
      <w:r w:rsidRPr="001433A9">
        <w:rPr>
          <w:color w:val="000000" w:themeColor="text1"/>
        </w:rPr>
        <w:t xml:space="preserve">reporting guidelines </w:t>
      </w:r>
      <w:r w:rsidR="009A7DE3" w:rsidRPr="001433A9">
        <w:rPr>
          <w:color w:val="000000" w:themeColor="text1"/>
        </w:rPr>
        <w:t xml:space="preserve">of the AMA </w:t>
      </w:r>
      <w:r w:rsidR="009A7DE3" w:rsidRPr="001433A9">
        <w:rPr>
          <w:noProof/>
          <w:color w:val="000000" w:themeColor="text1"/>
        </w:rPr>
        <w:t>(Flanagin et al., 2021)</w:t>
      </w:r>
      <w:r w:rsidR="00293419" w:rsidRPr="001433A9">
        <w:rPr>
          <w:noProof/>
          <w:color w:val="000000" w:themeColor="text1"/>
        </w:rPr>
        <w:t xml:space="preserve"> </w:t>
      </w:r>
      <w:r w:rsidR="009A7DE3" w:rsidRPr="001433A9">
        <w:rPr>
          <w:color w:val="000000" w:themeColor="text1"/>
        </w:rPr>
        <w:t xml:space="preserve">and APA </w:t>
      </w:r>
      <w:r w:rsidR="009A7DE3" w:rsidRPr="001433A9">
        <w:rPr>
          <w:noProof/>
          <w:color w:val="000000" w:themeColor="text1"/>
        </w:rPr>
        <w:t>(2020, 2021)</w:t>
      </w:r>
      <w:r w:rsidR="009A7DE3" w:rsidRPr="001433A9">
        <w:rPr>
          <w:color w:val="000000" w:themeColor="text1"/>
        </w:rPr>
        <w:t xml:space="preserve"> </w:t>
      </w:r>
      <w:r w:rsidRPr="001433A9">
        <w:rPr>
          <w:color w:val="000000" w:themeColor="text1"/>
        </w:rPr>
        <w:t>and received high-quality ratings; see</w:t>
      </w:r>
      <w:r w:rsidR="009A7DE3" w:rsidRPr="001433A9">
        <w:rPr>
          <w:color w:val="000000" w:themeColor="text1"/>
        </w:rPr>
        <w:t xml:space="preserve"> </w:t>
      </w:r>
      <w:r w:rsidRPr="001433A9">
        <w:rPr>
          <w:color w:val="000000" w:themeColor="text1"/>
        </w:rPr>
        <w:t xml:space="preserve">Table 1. No study reported specific labels for race and </w:t>
      </w:r>
      <w:r w:rsidR="00765033" w:rsidRPr="001433A9">
        <w:rPr>
          <w:color w:val="000000" w:themeColor="text1"/>
        </w:rPr>
        <w:t>ethnicity or</w:t>
      </w:r>
      <w:r w:rsidRPr="001433A9">
        <w:rPr>
          <w:color w:val="000000" w:themeColor="text1"/>
        </w:rPr>
        <w:t xml:space="preserve"> provided intersectional data. Three (5%) received high quality ratings for reporting of participant race, ethnicity, gender/sex, and SES </w:t>
      </w:r>
      <w:r w:rsidRPr="001433A9">
        <w:rPr>
          <w:noProof/>
          <w:color w:val="000000" w:themeColor="text1"/>
        </w:rPr>
        <w:t>(Eigsti et al., 2007; Hart &amp; Curtin, 2021; Thurm et al., 2007)</w:t>
      </w:r>
      <w:r w:rsidRPr="001433A9">
        <w:rPr>
          <w:color w:val="000000" w:themeColor="text1"/>
        </w:rPr>
        <w:t xml:space="preserve">. Across all 60 studies, 19 (32%) at least partly reported race, </w:t>
      </w:r>
      <w:r w:rsidRPr="001433A9">
        <w:rPr>
          <w:color w:val="000000" w:themeColor="text1"/>
        </w:rPr>
        <w:lastRenderedPageBreak/>
        <w:t xml:space="preserve">17 (28%) ethnicity, and 17 (28%) race and ethnicity. Reporting in some studies masked racial and ethnic representation. For example, </w:t>
      </w:r>
      <w:r w:rsidRPr="001433A9">
        <w:rPr>
          <w:noProof/>
          <w:color w:val="000000" w:themeColor="text1"/>
        </w:rPr>
        <w:t>Kover et al. (2014)</w:t>
      </w:r>
      <w:r w:rsidRPr="001433A9">
        <w:rPr>
          <w:color w:val="000000" w:themeColor="text1"/>
        </w:rPr>
        <w:t xml:space="preserve"> reported total percentages across all participants (autistic, typically developing, and autistic with co-occurring intellectual disability) instead of reporting racial and ethnic representation per group; this study also collapsed African American/Hispanic (i.e., multiracial) with American Indian or Alaskan Native, or Other. </w:t>
      </w:r>
      <w:r w:rsidRPr="001433A9">
        <w:rPr>
          <w:noProof/>
          <w:color w:val="000000" w:themeColor="text1"/>
        </w:rPr>
        <w:t>Reinhartsen et al. (2019)</w:t>
      </w:r>
      <w:r w:rsidRPr="001433A9">
        <w:rPr>
          <w:color w:val="000000" w:themeColor="text1"/>
        </w:rPr>
        <w:t xml:space="preserve"> reported </w:t>
      </w:r>
      <w:r w:rsidRPr="001433A9">
        <w:rPr>
          <w:i/>
          <w:color w:val="000000" w:themeColor="text1"/>
        </w:rPr>
        <w:t>maternal</w:t>
      </w:r>
      <w:r w:rsidRPr="001433A9">
        <w:rPr>
          <w:color w:val="000000" w:themeColor="text1"/>
        </w:rPr>
        <w:t xml:space="preserve"> ethnicity and race, which may differ from the ethnicity and race of their child. While this information is useful, the focus in research studies should be on the identified participant’s demographic characteristics. As for gender and sex, 31 (52%) studies reported gender or sex (or both) </w:t>
      </w:r>
      <w:r w:rsidRPr="001433A9">
        <w:rPr>
          <w:i/>
          <w:iCs/>
          <w:color w:val="000000" w:themeColor="text1"/>
        </w:rPr>
        <w:t>and</w:t>
      </w:r>
      <w:r w:rsidRPr="001433A9">
        <w:rPr>
          <w:color w:val="000000" w:themeColor="text1"/>
        </w:rPr>
        <w:t xml:space="preserve"> provided specific information for all categories. Ten (17%) studies reported information on SES using multiple indicators. In sum, these data on reporting practices indicate inconsistent adherence to reporting</w:t>
      </w:r>
      <w:r w:rsidR="00E317E7" w:rsidRPr="001433A9">
        <w:rPr>
          <w:color w:val="000000" w:themeColor="text1"/>
        </w:rPr>
        <w:t xml:space="preserve"> </w:t>
      </w:r>
      <w:r w:rsidRPr="001433A9">
        <w:rPr>
          <w:color w:val="000000" w:themeColor="text1"/>
        </w:rPr>
        <w:t>guidelines.</w:t>
      </w:r>
    </w:p>
    <w:p w14:paraId="3B4B9977" w14:textId="1B613CE4" w:rsidR="00B56688" w:rsidRPr="001433A9" w:rsidRDefault="00A04378" w:rsidP="00292C9F">
      <w:pPr>
        <w:widowControl w:val="0"/>
        <w:spacing w:line="480" w:lineRule="auto"/>
        <w:ind w:firstLine="720"/>
        <w:rPr>
          <w:color w:val="000000" w:themeColor="text1"/>
        </w:rPr>
      </w:pPr>
      <w:r>
        <w:rPr>
          <w:noProof/>
          <w:color w:val="000000" w:themeColor="text1"/>
        </w:rPr>
        <w:object w:dxaOrig="9360" w:dyaOrig="12800" w14:anchorId="7C69C739">
          <v:shape id="_x0000_i1027" type="#_x0000_t75" alt="" style="width:468.3pt;height:639.95pt;mso-width-percent:0;mso-height-percent:0;mso-width-percent:0;mso-height-percent:0" o:ole="">
            <v:imagedata r:id="rId9" o:title=""/>
          </v:shape>
          <o:OLEObject Type="Embed" ProgID="Word.Document.12" ShapeID="_x0000_i1027" DrawAspect="Content" ObjectID="_1739465465" r:id="rId10">
            <o:FieldCodes>\s</o:FieldCodes>
          </o:OLEObject>
        </w:object>
      </w:r>
    </w:p>
    <w:p w14:paraId="182F6D98" w14:textId="77777777" w:rsidR="00C82253" w:rsidRPr="001433A9" w:rsidRDefault="00C82253" w:rsidP="00851E32">
      <w:pPr>
        <w:widowControl w:val="0"/>
        <w:spacing w:line="480" w:lineRule="auto"/>
        <w:rPr>
          <w:b/>
          <w:bCs/>
          <w:color w:val="000000" w:themeColor="text1"/>
        </w:rPr>
      </w:pPr>
      <w:r w:rsidRPr="001433A9">
        <w:rPr>
          <w:b/>
          <w:bCs/>
          <w:color w:val="000000" w:themeColor="text1"/>
        </w:rPr>
        <w:lastRenderedPageBreak/>
        <w:t xml:space="preserve">Sociodemographics of Research Participants </w:t>
      </w:r>
    </w:p>
    <w:p w14:paraId="6E8C1D6F" w14:textId="77777777" w:rsidR="00C82253" w:rsidRPr="001433A9" w:rsidRDefault="00C82253" w:rsidP="00851E32">
      <w:pPr>
        <w:widowControl w:val="0"/>
        <w:spacing w:line="480" w:lineRule="auto"/>
        <w:rPr>
          <w:b/>
          <w:bCs/>
          <w:i/>
          <w:iCs/>
          <w:color w:val="000000" w:themeColor="text1"/>
        </w:rPr>
      </w:pPr>
      <w:r w:rsidRPr="001433A9">
        <w:rPr>
          <w:b/>
          <w:bCs/>
          <w:i/>
          <w:iCs/>
          <w:color w:val="000000" w:themeColor="text1"/>
        </w:rPr>
        <w:t>Race and Ethnicity</w:t>
      </w:r>
    </w:p>
    <w:p w14:paraId="10521487" w14:textId="6AD590C8" w:rsidR="00C82253" w:rsidRDefault="00C82253" w:rsidP="00292C9F">
      <w:pPr>
        <w:widowControl w:val="0"/>
        <w:spacing w:line="480" w:lineRule="auto"/>
        <w:ind w:firstLine="720"/>
        <w:rPr>
          <w:color w:val="000000" w:themeColor="text1"/>
        </w:rPr>
      </w:pPr>
      <w:r w:rsidRPr="001433A9">
        <w:rPr>
          <w:color w:val="000000" w:themeColor="text1"/>
        </w:rPr>
        <w:t>Across all studies, 73% of autistic participants (</w:t>
      </w:r>
      <w:r w:rsidRPr="001433A9">
        <w:rPr>
          <w:i/>
          <w:iCs/>
          <w:color w:val="000000" w:themeColor="text1"/>
        </w:rPr>
        <w:t xml:space="preserve">n </w:t>
      </w:r>
      <w:r w:rsidRPr="001433A9">
        <w:rPr>
          <w:color w:val="000000" w:themeColor="text1"/>
        </w:rPr>
        <w:t>= 5826) did not have any reported</w:t>
      </w:r>
      <w:r w:rsidR="00E317E7" w:rsidRPr="001433A9">
        <w:rPr>
          <w:color w:val="000000" w:themeColor="text1"/>
        </w:rPr>
        <w:t xml:space="preserve"> </w:t>
      </w:r>
      <w:r w:rsidRPr="001433A9">
        <w:rPr>
          <w:color w:val="000000" w:themeColor="text1"/>
        </w:rPr>
        <w:t>information on race or ethnicity; see Table 2. When studies reported at least some information about race and/or ethnicity (</w:t>
      </w:r>
      <w:r w:rsidRPr="001433A9">
        <w:rPr>
          <w:i/>
          <w:iCs/>
          <w:color w:val="000000" w:themeColor="text1"/>
        </w:rPr>
        <w:t xml:space="preserve">n </w:t>
      </w:r>
      <w:r w:rsidRPr="001433A9">
        <w:rPr>
          <w:color w:val="000000" w:themeColor="text1"/>
        </w:rPr>
        <w:t xml:space="preserve">= 21), all used broad reporting categories. Most participants with reported race and ethnicity (2096 out of the 2723, or 76%) were white. In contrast, 0.7% of participants were Asian or Pacific Islander, 6.2% Black, 1.8% multiracial, and 0.2% American Indian; 7.2% of participants were Hispanic/Latinx. These data indicate a tendency toward </w:t>
      </w:r>
      <w:r w:rsidR="00AA72AC" w:rsidRPr="001433A9">
        <w:rPr>
          <w:color w:val="000000" w:themeColor="text1"/>
        </w:rPr>
        <w:t>color-</w:t>
      </w:r>
      <w:r w:rsidR="001B4C71" w:rsidRPr="001433A9">
        <w:rPr>
          <w:color w:val="000000" w:themeColor="text1"/>
        </w:rPr>
        <w:t>blindness</w:t>
      </w:r>
      <w:r w:rsidR="00AA72AC" w:rsidRPr="001433A9">
        <w:rPr>
          <w:color w:val="000000" w:themeColor="text1"/>
        </w:rPr>
        <w:t xml:space="preserve"> (Annamma et al., 2017)</w:t>
      </w:r>
      <w:r w:rsidRPr="001433A9">
        <w:rPr>
          <w:color w:val="000000" w:themeColor="text1"/>
        </w:rPr>
        <w:t xml:space="preserve">, in that </w:t>
      </w:r>
      <w:r w:rsidR="001B4C71" w:rsidRPr="001433A9">
        <w:rPr>
          <w:color w:val="000000" w:themeColor="text1"/>
        </w:rPr>
        <w:t xml:space="preserve">studies included mostly </w:t>
      </w:r>
      <w:r w:rsidRPr="001433A9">
        <w:rPr>
          <w:color w:val="000000" w:themeColor="text1"/>
        </w:rPr>
        <w:t>white participants with no discussion of how findings should be interpreted given the non-representative nature of the samples.</w:t>
      </w:r>
    </w:p>
    <w:p w14:paraId="1E203322" w14:textId="3648F161" w:rsidR="00B56688" w:rsidRPr="001433A9" w:rsidRDefault="00A04378" w:rsidP="00292C9F">
      <w:pPr>
        <w:widowControl w:val="0"/>
        <w:spacing w:line="480" w:lineRule="auto"/>
        <w:ind w:firstLine="720"/>
        <w:rPr>
          <w:color w:val="000000" w:themeColor="text1"/>
        </w:rPr>
      </w:pPr>
      <w:r>
        <w:rPr>
          <w:noProof/>
          <w:color w:val="000000" w:themeColor="text1"/>
        </w:rPr>
        <w:object w:dxaOrig="9360" w:dyaOrig="6040" w14:anchorId="2760EF7B">
          <v:shape id="_x0000_i1026" type="#_x0000_t75" alt="" style="width:468.3pt;height:301.8pt;mso-width-percent:0;mso-height-percent:0;mso-width-percent:0;mso-height-percent:0" o:ole="">
            <v:imagedata r:id="rId11" o:title=""/>
          </v:shape>
          <o:OLEObject Type="Embed" ProgID="Word.Document.12" ShapeID="_x0000_i1026" DrawAspect="Content" ObjectID="_1739465466" r:id="rId12">
            <o:FieldCodes>\s</o:FieldCodes>
          </o:OLEObject>
        </w:object>
      </w:r>
    </w:p>
    <w:p w14:paraId="2F3E9CE0" w14:textId="13471BC4" w:rsidR="008E74FF" w:rsidRDefault="00C82253" w:rsidP="00292C9F">
      <w:pPr>
        <w:widowControl w:val="0"/>
        <w:spacing w:line="480" w:lineRule="auto"/>
        <w:ind w:firstLine="720"/>
        <w:rPr>
          <w:color w:val="000000" w:themeColor="text1"/>
        </w:rPr>
      </w:pPr>
      <w:r w:rsidRPr="001433A9">
        <w:rPr>
          <w:color w:val="000000" w:themeColor="text1"/>
        </w:rPr>
        <w:t xml:space="preserve">In studies at least partly reporting participant race and ethnicity, all but two had </w:t>
      </w:r>
      <w:proofErr w:type="gramStart"/>
      <w:r w:rsidRPr="001433A9">
        <w:rPr>
          <w:color w:val="000000" w:themeColor="text1"/>
        </w:rPr>
        <w:t xml:space="preserve">a </w:t>
      </w:r>
      <w:r w:rsidRPr="001433A9">
        <w:rPr>
          <w:color w:val="000000" w:themeColor="text1"/>
        </w:rPr>
        <w:lastRenderedPageBreak/>
        <w:t>majority of</w:t>
      </w:r>
      <w:proofErr w:type="gramEnd"/>
      <w:r w:rsidRPr="001433A9">
        <w:rPr>
          <w:color w:val="000000" w:themeColor="text1"/>
        </w:rPr>
        <w:t xml:space="preserve"> white participants </w:t>
      </w:r>
      <w:r w:rsidRPr="001433A9">
        <w:rPr>
          <w:noProof/>
          <w:color w:val="000000" w:themeColor="text1"/>
        </w:rPr>
        <w:t>(Girolamo et al., 2020; Thurm et al., 2007)</w:t>
      </w:r>
      <w:r w:rsidRPr="001433A9">
        <w:rPr>
          <w:color w:val="000000" w:themeColor="text1"/>
        </w:rPr>
        <w:t xml:space="preserve">; see Table 3. However, representation can also be considered by participant </w:t>
      </w:r>
      <w:r w:rsidRPr="001433A9">
        <w:rPr>
          <w:i/>
          <w:iCs/>
          <w:color w:val="000000" w:themeColor="text1"/>
        </w:rPr>
        <w:t xml:space="preserve">n </w:t>
      </w:r>
      <w:r w:rsidRPr="001433A9">
        <w:rPr>
          <w:color w:val="000000" w:themeColor="text1"/>
        </w:rPr>
        <w:t xml:space="preserve">per racial or ethnic group. Two studies accounted for 50% of all Black participants: </w:t>
      </w:r>
      <w:r w:rsidRPr="001433A9">
        <w:rPr>
          <w:noProof/>
          <w:color w:val="000000" w:themeColor="text1"/>
        </w:rPr>
        <w:t>Ellis Weismer et al. (2010)</w:t>
      </w:r>
      <w:r w:rsidRPr="001433A9">
        <w:rPr>
          <w:color w:val="000000" w:themeColor="text1"/>
        </w:rPr>
        <w:t xml:space="preserve"> (</w:t>
      </w:r>
      <w:r w:rsidRPr="001433A9">
        <w:rPr>
          <w:i/>
          <w:iCs/>
          <w:color w:val="000000" w:themeColor="text1"/>
        </w:rPr>
        <w:t xml:space="preserve">n </w:t>
      </w:r>
      <w:r w:rsidRPr="001433A9">
        <w:rPr>
          <w:color w:val="000000" w:themeColor="text1"/>
        </w:rPr>
        <w:t xml:space="preserve">= 54, or 30%) and </w:t>
      </w:r>
      <w:r w:rsidRPr="001433A9">
        <w:rPr>
          <w:noProof/>
          <w:color w:val="000000" w:themeColor="text1"/>
        </w:rPr>
        <w:t>Luyster et al. (2007)</w:t>
      </w:r>
      <w:r w:rsidRPr="001433A9">
        <w:rPr>
          <w:color w:val="000000" w:themeColor="text1"/>
        </w:rPr>
        <w:t xml:space="preserve"> (</w:t>
      </w:r>
      <w:r w:rsidRPr="001433A9">
        <w:rPr>
          <w:i/>
          <w:iCs/>
          <w:color w:val="000000" w:themeColor="text1"/>
        </w:rPr>
        <w:t xml:space="preserve">n </w:t>
      </w:r>
      <w:r w:rsidRPr="001433A9">
        <w:rPr>
          <w:color w:val="000000" w:themeColor="text1"/>
        </w:rPr>
        <w:t xml:space="preserve">= 38, or 20%). Similarly, </w:t>
      </w:r>
      <w:r w:rsidRPr="001433A9">
        <w:rPr>
          <w:noProof/>
          <w:color w:val="000000" w:themeColor="text1"/>
        </w:rPr>
        <w:t>Bal et al. (2016)</w:t>
      </w:r>
      <w:r w:rsidRPr="001433A9">
        <w:rPr>
          <w:color w:val="000000" w:themeColor="text1"/>
        </w:rPr>
        <w:t xml:space="preserve"> accounted for 83% of all 207 Hispanic/Latinx participants (</w:t>
      </w:r>
      <w:r w:rsidRPr="001433A9">
        <w:rPr>
          <w:i/>
          <w:iCs/>
          <w:color w:val="000000" w:themeColor="text1"/>
        </w:rPr>
        <w:t xml:space="preserve">n </w:t>
      </w:r>
      <w:r w:rsidRPr="001433A9">
        <w:rPr>
          <w:color w:val="000000" w:themeColor="text1"/>
        </w:rPr>
        <w:t>= 171). Altogether, these data indicate inequity in racial and</w:t>
      </w:r>
      <w:r w:rsidR="00E317E7" w:rsidRPr="001433A9">
        <w:rPr>
          <w:color w:val="000000" w:themeColor="text1"/>
        </w:rPr>
        <w:t xml:space="preserve"> </w:t>
      </w:r>
      <w:r w:rsidRPr="001433A9">
        <w:rPr>
          <w:color w:val="000000" w:themeColor="text1"/>
        </w:rPr>
        <w:t xml:space="preserve">ethnic representation, with some studies only partly reporting race </w:t>
      </w:r>
      <w:r w:rsidRPr="001433A9">
        <w:rPr>
          <w:noProof/>
          <w:color w:val="000000" w:themeColor="text1"/>
        </w:rPr>
        <w:t>(Bal et al., 2016; Thurm et al.,</w:t>
      </w:r>
      <w:r w:rsidR="00E317E7" w:rsidRPr="001433A9">
        <w:rPr>
          <w:noProof/>
          <w:color w:val="000000" w:themeColor="text1"/>
        </w:rPr>
        <w:t xml:space="preserve"> </w:t>
      </w:r>
      <w:r w:rsidRPr="001433A9">
        <w:rPr>
          <w:noProof/>
          <w:color w:val="000000" w:themeColor="text1"/>
        </w:rPr>
        <w:t>2015)</w:t>
      </w:r>
      <w:r w:rsidRPr="001433A9">
        <w:rPr>
          <w:color w:val="000000" w:themeColor="text1"/>
        </w:rPr>
        <w:t xml:space="preserve"> and ethnicity </w:t>
      </w:r>
      <w:r w:rsidRPr="001433A9">
        <w:rPr>
          <w:noProof/>
          <w:color w:val="000000" w:themeColor="text1"/>
        </w:rPr>
        <w:t>(Klusek et al., 2014)</w:t>
      </w:r>
      <w:r w:rsidRPr="001433A9">
        <w:rPr>
          <w:color w:val="000000" w:themeColor="text1"/>
        </w:rPr>
        <w:t>, thus limiting a full understanding of inequit</w:t>
      </w:r>
      <w:r w:rsidR="008E74FF" w:rsidRPr="001433A9">
        <w:rPr>
          <w:color w:val="000000" w:themeColor="text1"/>
        </w:rPr>
        <w:t>y</w:t>
      </w:r>
      <w:r w:rsidR="00B56688">
        <w:rPr>
          <w:color w:val="000000" w:themeColor="text1"/>
        </w:rPr>
        <w:t>.</w:t>
      </w:r>
    </w:p>
    <w:tbl>
      <w:tblPr>
        <w:tblW w:w="5000" w:type="pct"/>
        <w:tblCellMar>
          <w:left w:w="0" w:type="dxa"/>
          <w:right w:w="0" w:type="dxa"/>
        </w:tblCellMar>
        <w:tblLook w:val="04A0" w:firstRow="1" w:lastRow="0" w:firstColumn="1" w:lastColumn="0" w:noHBand="0" w:noVBand="1"/>
      </w:tblPr>
      <w:tblGrid>
        <w:gridCol w:w="254"/>
        <w:gridCol w:w="701"/>
        <w:gridCol w:w="329"/>
        <w:gridCol w:w="437"/>
        <w:gridCol w:w="10"/>
        <w:gridCol w:w="324"/>
        <w:gridCol w:w="438"/>
        <w:gridCol w:w="12"/>
        <w:gridCol w:w="249"/>
        <w:gridCol w:w="573"/>
        <w:gridCol w:w="6"/>
        <w:gridCol w:w="475"/>
        <w:gridCol w:w="517"/>
        <w:gridCol w:w="8"/>
        <w:gridCol w:w="325"/>
        <w:gridCol w:w="439"/>
        <w:gridCol w:w="9"/>
        <w:gridCol w:w="250"/>
        <w:gridCol w:w="441"/>
        <w:gridCol w:w="9"/>
        <w:gridCol w:w="402"/>
        <w:gridCol w:w="441"/>
        <w:gridCol w:w="7"/>
        <w:gridCol w:w="2688"/>
        <w:gridCol w:w="16"/>
      </w:tblGrid>
      <w:tr w:rsidR="00B56688" w:rsidRPr="00B56688" w14:paraId="4E12EDDA" w14:textId="77777777" w:rsidTr="00B56688">
        <w:trPr>
          <w:gridAfter w:val="1"/>
          <w:wAfter w:w="8" w:type="pct"/>
          <w:trHeight w:val="260"/>
        </w:trPr>
        <w:tc>
          <w:tcPr>
            <w:tcW w:w="4992" w:type="pct"/>
            <w:gridSpan w:val="24"/>
            <w:tcBorders>
              <w:top w:val="nil"/>
              <w:left w:val="nil"/>
              <w:bottom w:val="nil"/>
              <w:right w:val="nil"/>
            </w:tcBorders>
            <w:shd w:val="clear" w:color="auto" w:fill="auto"/>
            <w:noWrap/>
            <w:vAlign w:val="bottom"/>
            <w:hideMark/>
          </w:tcPr>
          <w:p w14:paraId="54D01719" w14:textId="77777777" w:rsidR="00B56688" w:rsidRPr="00B56688" w:rsidRDefault="00B56688" w:rsidP="00494032">
            <w:pPr>
              <w:rPr>
                <w:rFonts w:ascii="Arial" w:hAnsi="Arial" w:cs="Arial"/>
                <w:b/>
                <w:bCs/>
                <w:color w:val="000000"/>
                <w:sz w:val="16"/>
                <w:szCs w:val="16"/>
              </w:rPr>
            </w:pPr>
            <w:r w:rsidRPr="00B56688">
              <w:rPr>
                <w:rFonts w:ascii="Arial" w:hAnsi="Arial" w:cs="Arial"/>
                <w:b/>
                <w:bCs/>
                <w:color w:val="000000"/>
                <w:sz w:val="16"/>
                <w:szCs w:val="16"/>
              </w:rPr>
              <w:t>Table 3</w:t>
            </w:r>
          </w:p>
        </w:tc>
      </w:tr>
      <w:tr w:rsidR="00B56688" w:rsidRPr="00B56688" w14:paraId="5597CC07" w14:textId="77777777" w:rsidTr="00B56688">
        <w:trPr>
          <w:gridAfter w:val="1"/>
          <w:wAfter w:w="8" w:type="pct"/>
          <w:trHeight w:val="260"/>
        </w:trPr>
        <w:tc>
          <w:tcPr>
            <w:tcW w:w="4992" w:type="pct"/>
            <w:gridSpan w:val="24"/>
            <w:tcBorders>
              <w:top w:val="nil"/>
              <w:left w:val="nil"/>
              <w:bottom w:val="single" w:sz="4" w:space="0" w:color="auto"/>
              <w:right w:val="nil"/>
            </w:tcBorders>
            <w:shd w:val="clear" w:color="auto" w:fill="auto"/>
            <w:noWrap/>
            <w:vAlign w:val="bottom"/>
            <w:hideMark/>
          </w:tcPr>
          <w:p w14:paraId="473BA0E2" w14:textId="77777777" w:rsidR="00B56688" w:rsidRPr="00B56688" w:rsidRDefault="00B56688" w:rsidP="00494032">
            <w:pPr>
              <w:rPr>
                <w:rFonts w:ascii="Arial" w:hAnsi="Arial" w:cs="Arial"/>
                <w:i/>
                <w:iCs/>
                <w:color w:val="000000"/>
                <w:sz w:val="16"/>
                <w:szCs w:val="16"/>
              </w:rPr>
            </w:pPr>
            <w:r w:rsidRPr="00B56688">
              <w:rPr>
                <w:rFonts w:ascii="Arial" w:hAnsi="Arial" w:cs="Arial"/>
                <w:i/>
                <w:iCs/>
                <w:color w:val="000000"/>
                <w:sz w:val="16"/>
                <w:szCs w:val="16"/>
              </w:rPr>
              <w:t>Autistic Participants by Race and Ethnicity in Studies Reporting Race and Ethnicity (n = 2723)</w:t>
            </w:r>
          </w:p>
        </w:tc>
      </w:tr>
      <w:tr w:rsidR="00B56688" w:rsidRPr="00B56688" w14:paraId="09E7CDDC" w14:textId="77777777" w:rsidTr="00B56688">
        <w:trPr>
          <w:gridAfter w:val="1"/>
          <w:wAfter w:w="8" w:type="pct"/>
          <w:trHeight w:val="260"/>
        </w:trPr>
        <w:tc>
          <w:tcPr>
            <w:tcW w:w="3189" w:type="pct"/>
            <w:gridSpan w:val="19"/>
            <w:tcBorders>
              <w:top w:val="single" w:sz="4" w:space="0" w:color="auto"/>
              <w:left w:val="nil"/>
              <w:bottom w:val="single" w:sz="4" w:space="0" w:color="auto"/>
              <w:right w:val="nil"/>
            </w:tcBorders>
            <w:shd w:val="clear" w:color="auto" w:fill="auto"/>
            <w:noWrap/>
            <w:vAlign w:val="center"/>
            <w:hideMark/>
          </w:tcPr>
          <w:p w14:paraId="3B7AFEC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Race</w:t>
            </w:r>
          </w:p>
        </w:tc>
        <w:tc>
          <w:tcPr>
            <w:tcW w:w="468" w:type="pct"/>
            <w:gridSpan w:val="3"/>
            <w:tcBorders>
              <w:top w:val="single" w:sz="4" w:space="0" w:color="auto"/>
              <w:left w:val="nil"/>
              <w:bottom w:val="single" w:sz="4" w:space="0" w:color="auto"/>
              <w:right w:val="nil"/>
            </w:tcBorders>
            <w:shd w:val="clear" w:color="auto" w:fill="auto"/>
            <w:noWrap/>
            <w:vAlign w:val="bottom"/>
            <w:hideMark/>
          </w:tcPr>
          <w:p w14:paraId="788D417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Ethnicity</w:t>
            </w:r>
          </w:p>
        </w:tc>
        <w:tc>
          <w:tcPr>
            <w:tcW w:w="1336" w:type="pct"/>
            <w:gridSpan w:val="2"/>
            <w:tcBorders>
              <w:top w:val="nil"/>
              <w:left w:val="nil"/>
              <w:bottom w:val="nil"/>
              <w:right w:val="nil"/>
            </w:tcBorders>
            <w:shd w:val="clear" w:color="auto" w:fill="auto"/>
            <w:noWrap/>
            <w:vAlign w:val="center"/>
            <w:hideMark/>
          </w:tcPr>
          <w:p w14:paraId="5E15EB11"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Reference</w:t>
            </w:r>
          </w:p>
        </w:tc>
      </w:tr>
      <w:tr w:rsidR="00B56688" w:rsidRPr="00B56688" w14:paraId="54C3CC26" w14:textId="77777777" w:rsidTr="00B56688">
        <w:trPr>
          <w:gridAfter w:val="1"/>
          <w:wAfter w:w="8" w:type="pct"/>
          <w:trHeight w:val="600"/>
        </w:trPr>
        <w:tc>
          <w:tcPr>
            <w:tcW w:w="520" w:type="pct"/>
            <w:gridSpan w:val="2"/>
            <w:tcBorders>
              <w:top w:val="nil"/>
              <w:left w:val="nil"/>
              <w:bottom w:val="single" w:sz="4" w:space="0" w:color="auto"/>
              <w:right w:val="nil"/>
            </w:tcBorders>
            <w:shd w:val="clear" w:color="auto" w:fill="auto"/>
            <w:vAlign w:val="center"/>
            <w:hideMark/>
          </w:tcPr>
          <w:p w14:paraId="1CD12CD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Asian/Pacific Islander</w:t>
            </w:r>
          </w:p>
        </w:tc>
        <w:tc>
          <w:tcPr>
            <w:tcW w:w="420" w:type="pct"/>
            <w:gridSpan w:val="2"/>
            <w:tcBorders>
              <w:top w:val="nil"/>
              <w:left w:val="nil"/>
              <w:bottom w:val="single" w:sz="4" w:space="0" w:color="auto"/>
              <w:right w:val="nil"/>
            </w:tcBorders>
            <w:shd w:val="clear" w:color="auto" w:fill="auto"/>
            <w:noWrap/>
            <w:vAlign w:val="center"/>
            <w:hideMark/>
          </w:tcPr>
          <w:p w14:paraId="1FB3001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Black</w:t>
            </w:r>
          </w:p>
        </w:tc>
        <w:tc>
          <w:tcPr>
            <w:tcW w:w="427" w:type="pct"/>
            <w:gridSpan w:val="3"/>
            <w:tcBorders>
              <w:top w:val="nil"/>
              <w:left w:val="nil"/>
              <w:bottom w:val="single" w:sz="4" w:space="0" w:color="auto"/>
              <w:right w:val="nil"/>
            </w:tcBorders>
            <w:shd w:val="clear" w:color="auto" w:fill="auto"/>
            <w:vAlign w:val="center"/>
            <w:hideMark/>
          </w:tcPr>
          <w:p w14:paraId="31182C9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multi-racial</w:t>
            </w:r>
          </w:p>
        </w:tc>
        <w:tc>
          <w:tcPr>
            <w:tcW w:w="460" w:type="pct"/>
            <w:gridSpan w:val="3"/>
            <w:tcBorders>
              <w:top w:val="nil"/>
              <w:left w:val="nil"/>
              <w:bottom w:val="single" w:sz="4" w:space="0" w:color="auto"/>
              <w:right w:val="nil"/>
            </w:tcBorders>
            <w:shd w:val="clear" w:color="auto" w:fill="auto"/>
            <w:vAlign w:val="center"/>
            <w:hideMark/>
          </w:tcPr>
          <w:p w14:paraId="0774088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Indigenous</w:t>
            </w:r>
          </w:p>
        </w:tc>
        <w:tc>
          <w:tcPr>
            <w:tcW w:w="548" w:type="pct"/>
            <w:gridSpan w:val="3"/>
            <w:tcBorders>
              <w:top w:val="nil"/>
              <w:left w:val="nil"/>
              <w:bottom w:val="single" w:sz="4" w:space="0" w:color="auto"/>
              <w:right w:val="nil"/>
            </w:tcBorders>
            <w:shd w:val="clear" w:color="auto" w:fill="auto"/>
            <w:noWrap/>
            <w:vAlign w:val="center"/>
            <w:hideMark/>
          </w:tcPr>
          <w:p w14:paraId="097720A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white</w:t>
            </w:r>
          </w:p>
        </w:tc>
        <w:tc>
          <w:tcPr>
            <w:tcW w:w="426" w:type="pct"/>
            <w:gridSpan w:val="3"/>
            <w:tcBorders>
              <w:top w:val="nil"/>
              <w:left w:val="nil"/>
              <w:bottom w:val="single" w:sz="4" w:space="0" w:color="auto"/>
              <w:right w:val="nil"/>
            </w:tcBorders>
            <w:shd w:val="clear" w:color="auto" w:fill="auto"/>
            <w:noWrap/>
            <w:vAlign w:val="center"/>
            <w:hideMark/>
          </w:tcPr>
          <w:p w14:paraId="3A2D17D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other</w:t>
            </w:r>
          </w:p>
        </w:tc>
        <w:tc>
          <w:tcPr>
            <w:tcW w:w="387" w:type="pct"/>
            <w:gridSpan w:val="3"/>
            <w:tcBorders>
              <w:top w:val="single" w:sz="4" w:space="0" w:color="auto"/>
              <w:left w:val="nil"/>
              <w:bottom w:val="single" w:sz="4" w:space="0" w:color="auto"/>
              <w:right w:val="nil"/>
            </w:tcBorders>
            <w:shd w:val="clear" w:color="auto" w:fill="auto"/>
            <w:vAlign w:val="center"/>
            <w:hideMark/>
          </w:tcPr>
          <w:p w14:paraId="6EF947A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Don't know</w:t>
            </w:r>
          </w:p>
        </w:tc>
        <w:tc>
          <w:tcPr>
            <w:tcW w:w="468" w:type="pct"/>
            <w:gridSpan w:val="3"/>
            <w:tcBorders>
              <w:top w:val="nil"/>
              <w:left w:val="nil"/>
              <w:bottom w:val="single" w:sz="4" w:space="0" w:color="auto"/>
              <w:right w:val="nil"/>
            </w:tcBorders>
            <w:shd w:val="clear" w:color="auto" w:fill="auto"/>
            <w:vAlign w:val="center"/>
            <w:hideMark/>
          </w:tcPr>
          <w:p w14:paraId="6C3EF81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Hispanic/ Latinx</w:t>
            </w:r>
          </w:p>
        </w:tc>
        <w:tc>
          <w:tcPr>
            <w:tcW w:w="1336" w:type="pct"/>
            <w:gridSpan w:val="2"/>
            <w:tcBorders>
              <w:top w:val="nil"/>
              <w:left w:val="nil"/>
              <w:bottom w:val="nil"/>
              <w:right w:val="nil"/>
            </w:tcBorders>
            <w:shd w:val="clear" w:color="auto" w:fill="auto"/>
            <w:noWrap/>
            <w:vAlign w:val="center"/>
            <w:hideMark/>
          </w:tcPr>
          <w:p w14:paraId="46C027CD" w14:textId="77777777" w:rsidR="00B56688" w:rsidRPr="00B56688" w:rsidRDefault="00B56688" w:rsidP="00494032">
            <w:pPr>
              <w:jc w:val="center"/>
              <w:rPr>
                <w:rFonts w:ascii="Arial" w:hAnsi="Arial" w:cs="Arial"/>
                <w:color w:val="000000"/>
                <w:sz w:val="16"/>
                <w:szCs w:val="16"/>
              </w:rPr>
            </w:pPr>
          </w:p>
        </w:tc>
      </w:tr>
      <w:tr w:rsidR="00B56688" w:rsidRPr="00B56688" w14:paraId="44B64A9F" w14:textId="77777777" w:rsidTr="00B56688">
        <w:trPr>
          <w:trHeight w:val="260"/>
        </w:trPr>
        <w:tc>
          <w:tcPr>
            <w:tcW w:w="141" w:type="pct"/>
            <w:tcBorders>
              <w:top w:val="nil"/>
              <w:left w:val="nil"/>
              <w:bottom w:val="single" w:sz="4" w:space="0" w:color="auto"/>
              <w:right w:val="nil"/>
            </w:tcBorders>
            <w:shd w:val="clear" w:color="auto" w:fill="auto"/>
            <w:noWrap/>
            <w:vAlign w:val="bottom"/>
            <w:hideMark/>
          </w:tcPr>
          <w:p w14:paraId="767B9E20" w14:textId="77777777" w:rsidR="00B56688" w:rsidRPr="00B56688" w:rsidRDefault="00B56688" w:rsidP="00494032">
            <w:pPr>
              <w:jc w:val="center"/>
              <w:rPr>
                <w:rFonts w:ascii="Arial" w:hAnsi="Arial" w:cs="Arial"/>
                <w:i/>
                <w:iCs/>
                <w:color w:val="000000"/>
                <w:sz w:val="16"/>
                <w:szCs w:val="16"/>
              </w:rPr>
            </w:pPr>
            <w:r w:rsidRPr="00B56688">
              <w:rPr>
                <w:rFonts w:ascii="Arial" w:hAnsi="Arial" w:cs="Arial"/>
                <w:i/>
                <w:iCs/>
                <w:color w:val="000000"/>
                <w:sz w:val="16"/>
                <w:szCs w:val="16"/>
              </w:rPr>
              <w:t>n</w:t>
            </w:r>
          </w:p>
        </w:tc>
        <w:tc>
          <w:tcPr>
            <w:tcW w:w="380" w:type="pct"/>
            <w:tcBorders>
              <w:top w:val="nil"/>
              <w:left w:val="nil"/>
              <w:bottom w:val="single" w:sz="4" w:space="0" w:color="auto"/>
              <w:right w:val="nil"/>
            </w:tcBorders>
            <w:shd w:val="clear" w:color="auto" w:fill="auto"/>
            <w:noWrap/>
            <w:vAlign w:val="bottom"/>
            <w:hideMark/>
          </w:tcPr>
          <w:p w14:paraId="7F6E270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w:t>
            </w:r>
          </w:p>
        </w:tc>
        <w:tc>
          <w:tcPr>
            <w:tcW w:w="181" w:type="pct"/>
            <w:tcBorders>
              <w:top w:val="nil"/>
              <w:left w:val="nil"/>
              <w:bottom w:val="single" w:sz="4" w:space="0" w:color="auto"/>
              <w:right w:val="nil"/>
            </w:tcBorders>
            <w:shd w:val="clear" w:color="auto" w:fill="auto"/>
            <w:noWrap/>
            <w:vAlign w:val="bottom"/>
            <w:hideMark/>
          </w:tcPr>
          <w:p w14:paraId="3FDC7663" w14:textId="77777777" w:rsidR="00B56688" w:rsidRPr="00B56688" w:rsidRDefault="00B56688" w:rsidP="00494032">
            <w:pPr>
              <w:jc w:val="center"/>
              <w:rPr>
                <w:rFonts w:ascii="Arial" w:hAnsi="Arial" w:cs="Arial"/>
                <w:i/>
                <w:iCs/>
                <w:color w:val="000000"/>
                <w:sz w:val="16"/>
                <w:szCs w:val="16"/>
              </w:rPr>
            </w:pPr>
            <w:r w:rsidRPr="00B56688">
              <w:rPr>
                <w:rFonts w:ascii="Arial" w:hAnsi="Arial" w:cs="Arial"/>
                <w:i/>
                <w:iCs/>
                <w:color w:val="000000"/>
                <w:sz w:val="16"/>
                <w:szCs w:val="16"/>
              </w:rPr>
              <w:t>n</w:t>
            </w:r>
          </w:p>
        </w:tc>
        <w:tc>
          <w:tcPr>
            <w:tcW w:w="246" w:type="pct"/>
            <w:gridSpan w:val="2"/>
            <w:tcBorders>
              <w:top w:val="nil"/>
              <w:left w:val="nil"/>
              <w:bottom w:val="single" w:sz="4" w:space="0" w:color="auto"/>
              <w:right w:val="nil"/>
            </w:tcBorders>
            <w:shd w:val="clear" w:color="auto" w:fill="auto"/>
            <w:noWrap/>
            <w:vAlign w:val="bottom"/>
            <w:hideMark/>
          </w:tcPr>
          <w:p w14:paraId="07B6800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w:t>
            </w:r>
          </w:p>
        </w:tc>
        <w:tc>
          <w:tcPr>
            <w:tcW w:w="181" w:type="pct"/>
            <w:tcBorders>
              <w:top w:val="nil"/>
              <w:left w:val="nil"/>
              <w:bottom w:val="single" w:sz="4" w:space="0" w:color="auto"/>
              <w:right w:val="nil"/>
            </w:tcBorders>
            <w:shd w:val="clear" w:color="auto" w:fill="auto"/>
            <w:noWrap/>
            <w:vAlign w:val="bottom"/>
            <w:hideMark/>
          </w:tcPr>
          <w:p w14:paraId="7F5A014D" w14:textId="77777777" w:rsidR="00B56688" w:rsidRPr="00B56688" w:rsidRDefault="00B56688" w:rsidP="00494032">
            <w:pPr>
              <w:jc w:val="center"/>
              <w:rPr>
                <w:rFonts w:ascii="Arial" w:hAnsi="Arial" w:cs="Arial"/>
                <w:i/>
                <w:iCs/>
                <w:color w:val="000000"/>
                <w:sz w:val="16"/>
                <w:szCs w:val="16"/>
              </w:rPr>
            </w:pPr>
            <w:r w:rsidRPr="00B56688">
              <w:rPr>
                <w:rFonts w:ascii="Arial" w:hAnsi="Arial" w:cs="Arial"/>
                <w:i/>
                <w:iCs/>
                <w:color w:val="000000"/>
                <w:sz w:val="16"/>
                <w:szCs w:val="16"/>
              </w:rPr>
              <w:t>n</w:t>
            </w:r>
          </w:p>
        </w:tc>
        <w:tc>
          <w:tcPr>
            <w:tcW w:w="246" w:type="pct"/>
            <w:gridSpan w:val="2"/>
            <w:tcBorders>
              <w:top w:val="nil"/>
              <w:left w:val="nil"/>
              <w:bottom w:val="single" w:sz="4" w:space="0" w:color="auto"/>
              <w:right w:val="nil"/>
            </w:tcBorders>
            <w:shd w:val="clear" w:color="auto" w:fill="auto"/>
            <w:noWrap/>
            <w:vAlign w:val="bottom"/>
            <w:hideMark/>
          </w:tcPr>
          <w:p w14:paraId="3AF0DDB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w:t>
            </w:r>
          </w:p>
        </w:tc>
        <w:tc>
          <w:tcPr>
            <w:tcW w:w="142" w:type="pct"/>
            <w:tcBorders>
              <w:top w:val="nil"/>
              <w:left w:val="nil"/>
              <w:bottom w:val="single" w:sz="4" w:space="0" w:color="auto"/>
              <w:right w:val="nil"/>
            </w:tcBorders>
            <w:shd w:val="clear" w:color="auto" w:fill="auto"/>
            <w:noWrap/>
            <w:vAlign w:val="bottom"/>
            <w:hideMark/>
          </w:tcPr>
          <w:p w14:paraId="45774B64" w14:textId="77777777" w:rsidR="00B56688" w:rsidRPr="00B56688" w:rsidRDefault="00B56688" w:rsidP="00494032">
            <w:pPr>
              <w:jc w:val="center"/>
              <w:rPr>
                <w:rFonts w:ascii="Arial" w:hAnsi="Arial" w:cs="Arial"/>
                <w:i/>
                <w:iCs/>
                <w:color w:val="000000"/>
                <w:sz w:val="16"/>
                <w:szCs w:val="16"/>
              </w:rPr>
            </w:pPr>
            <w:r w:rsidRPr="00B56688">
              <w:rPr>
                <w:rFonts w:ascii="Arial" w:hAnsi="Arial" w:cs="Arial"/>
                <w:i/>
                <w:iCs/>
                <w:color w:val="000000"/>
                <w:sz w:val="16"/>
                <w:szCs w:val="16"/>
              </w:rPr>
              <w:t>n</w:t>
            </w:r>
          </w:p>
        </w:tc>
        <w:tc>
          <w:tcPr>
            <w:tcW w:w="315" w:type="pct"/>
            <w:gridSpan w:val="2"/>
            <w:tcBorders>
              <w:top w:val="nil"/>
              <w:left w:val="nil"/>
              <w:bottom w:val="single" w:sz="4" w:space="0" w:color="auto"/>
              <w:right w:val="nil"/>
            </w:tcBorders>
            <w:shd w:val="clear" w:color="auto" w:fill="auto"/>
            <w:noWrap/>
            <w:vAlign w:val="bottom"/>
            <w:hideMark/>
          </w:tcPr>
          <w:p w14:paraId="0C9409D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w:t>
            </w:r>
          </w:p>
        </w:tc>
        <w:tc>
          <w:tcPr>
            <w:tcW w:w="263" w:type="pct"/>
            <w:tcBorders>
              <w:top w:val="nil"/>
              <w:left w:val="nil"/>
              <w:bottom w:val="single" w:sz="4" w:space="0" w:color="auto"/>
              <w:right w:val="nil"/>
            </w:tcBorders>
            <w:shd w:val="clear" w:color="auto" w:fill="auto"/>
            <w:noWrap/>
            <w:vAlign w:val="bottom"/>
            <w:hideMark/>
          </w:tcPr>
          <w:p w14:paraId="264AD7D3" w14:textId="77777777" w:rsidR="00B56688" w:rsidRPr="00B56688" w:rsidRDefault="00B56688" w:rsidP="00494032">
            <w:pPr>
              <w:jc w:val="center"/>
              <w:rPr>
                <w:rFonts w:ascii="Arial" w:hAnsi="Arial" w:cs="Arial"/>
                <w:i/>
                <w:iCs/>
                <w:color w:val="000000"/>
                <w:sz w:val="16"/>
                <w:szCs w:val="16"/>
              </w:rPr>
            </w:pPr>
            <w:r w:rsidRPr="00B56688">
              <w:rPr>
                <w:rFonts w:ascii="Arial" w:hAnsi="Arial" w:cs="Arial"/>
                <w:i/>
                <w:iCs/>
                <w:color w:val="000000"/>
                <w:sz w:val="16"/>
                <w:szCs w:val="16"/>
              </w:rPr>
              <w:t>n</w:t>
            </w:r>
          </w:p>
        </w:tc>
        <w:tc>
          <w:tcPr>
            <w:tcW w:w="287" w:type="pct"/>
            <w:gridSpan w:val="2"/>
            <w:tcBorders>
              <w:top w:val="nil"/>
              <w:left w:val="nil"/>
              <w:bottom w:val="single" w:sz="4" w:space="0" w:color="auto"/>
              <w:right w:val="nil"/>
            </w:tcBorders>
            <w:shd w:val="clear" w:color="auto" w:fill="auto"/>
            <w:noWrap/>
            <w:vAlign w:val="bottom"/>
            <w:hideMark/>
          </w:tcPr>
          <w:p w14:paraId="2046752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w:t>
            </w:r>
          </w:p>
        </w:tc>
        <w:tc>
          <w:tcPr>
            <w:tcW w:w="181" w:type="pct"/>
            <w:tcBorders>
              <w:top w:val="nil"/>
              <w:left w:val="nil"/>
              <w:bottom w:val="single" w:sz="4" w:space="0" w:color="auto"/>
              <w:right w:val="nil"/>
            </w:tcBorders>
            <w:shd w:val="clear" w:color="auto" w:fill="auto"/>
            <w:noWrap/>
            <w:vAlign w:val="bottom"/>
            <w:hideMark/>
          </w:tcPr>
          <w:p w14:paraId="4A08EED2" w14:textId="77777777" w:rsidR="00B56688" w:rsidRPr="00B56688" w:rsidRDefault="00B56688" w:rsidP="00494032">
            <w:pPr>
              <w:jc w:val="center"/>
              <w:rPr>
                <w:rFonts w:ascii="Arial" w:hAnsi="Arial" w:cs="Arial"/>
                <w:i/>
                <w:iCs/>
                <w:color w:val="000000"/>
                <w:sz w:val="16"/>
                <w:szCs w:val="16"/>
              </w:rPr>
            </w:pPr>
            <w:r w:rsidRPr="00B56688">
              <w:rPr>
                <w:rFonts w:ascii="Arial" w:hAnsi="Arial" w:cs="Arial"/>
                <w:i/>
                <w:iCs/>
                <w:color w:val="000000"/>
                <w:sz w:val="16"/>
                <w:szCs w:val="16"/>
              </w:rPr>
              <w:t>n</w:t>
            </w:r>
          </w:p>
        </w:tc>
        <w:tc>
          <w:tcPr>
            <w:tcW w:w="246" w:type="pct"/>
            <w:gridSpan w:val="2"/>
            <w:tcBorders>
              <w:top w:val="nil"/>
              <w:left w:val="nil"/>
              <w:bottom w:val="single" w:sz="4" w:space="0" w:color="auto"/>
              <w:right w:val="nil"/>
            </w:tcBorders>
            <w:shd w:val="clear" w:color="auto" w:fill="auto"/>
            <w:noWrap/>
            <w:vAlign w:val="bottom"/>
            <w:hideMark/>
          </w:tcPr>
          <w:p w14:paraId="53BEDB1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w:t>
            </w:r>
          </w:p>
        </w:tc>
        <w:tc>
          <w:tcPr>
            <w:tcW w:w="140" w:type="pct"/>
            <w:tcBorders>
              <w:top w:val="nil"/>
              <w:left w:val="nil"/>
              <w:bottom w:val="single" w:sz="4" w:space="0" w:color="auto"/>
              <w:right w:val="nil"/>
            </w:tcBorders>
            <w:shd w:val="clear" w:color="auto" w:fill="auto"/>
            <w:noWrap/>
            <w:vAlign w:val="bottom"/>
            <w:hideMark/>
          </w:tcPr>
          <w:p w14:paraId="5BE7AAF0" w14:textId="77777777" w:rsidR="00B56688" w:rsidRPr="00B56688" w:rsidRDefault="00B56688" w:rsidP="00494032">
            <w:pPr>
              <w:jc w:val="center"/>
              <w:rPr>
                <w:rFonts w:ascii="Arial" w:hAnsi="Arial" w:cs="Arial"/>
                <w:i/>
                <w:iCs/>
                <w:color w:val="000000"/>
                <w:sz w:val="16"/>
                <w:szCs w:val="16"/>
              </w:rPr>
            </w:pPr>
            <w:r w:rsidRPr="00B56688">
              <w:rPr>
                <w:rFonts w:ascii="Arial" w:hAnsi="Arial" w:cs="Arial"/>
                <w:i/>
                <w:iCs/>
                <w:color w:val="000000"/>
                <w:sz w:val="16"/>
                <w:szCs w:val="16"/>
              </w:rPr>
              <w:t>n</w:t>
            </w:r>
          </w:p>
        </w:tc>
        <w:tc>
          <w:tcPr>
            <w:tcW w:w="246" w:type="pct"/>
            <w:gridSpan w:val="2"/>
            <w:tcBorders>
              <w:top w:val="nil"/>
              <w:left w:val="nil"/>
              <w:bottom w:val="single" w:sz="4" w:space="0" w:color="auto"/>
              <w:right w:val="nil"/>
            </w:tcBorders>
            <w:shd w:val="clear" w:color="auto" w:fill="auto"/>
            <w:noWrap/>
            <w:vAlign w:val="bottom"/>
            <w:hideMark/>
          </w:tcPr>
          <w:p w14:paraId="6195B21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w:t>
            </w:r>
          </w:p>
        </w:tc>
        <w:tc>
          <w:tcPr>
            <w:tcW w:w="222" w:type="pct"/>
            <w:tcBorders>
              <w:top w:val="nil"/>
              <w:left w:val="nil"/>
              <w:bottom w:val="single" w:sz="4" w:space="0" w:color="auto"/>
              <w:right w:val="nil"/>
            </w:tcBorders>
            <w:shd w:val="clear" w:color="auto" w:fill="auto"/>
            <w:noWrap/>
            <w:vAlign w:val="bottom"/>
            <w:hideMark/>
          </w:tcPr>
          <w:p w14:paraId="46DF2F8B" w14:textId="77777777" w:rsidR="00B56688" w:rsidRPr="00B56688" w:rsidRDefault="00B56688" w:rsidP="00494032">
            <w:pPr>
              <w:jc w:val="center"/>
              <w:rPr>
                <w:rFonts w:ascii="Arial" w:hAnsi="Arial" w:cs="Arial"/>
                <w:i/>
                <w:iCs/>
                <w:color w:val="000000"/>
                <w:sz w:val="16"/>
                <w:szCs w:val="16"/>
              </w:rPr>
            </w:pPr>
            <w:r w:rsidRPr="00B56688">
              <w:rPr>
                <w:rFonts w:ascii="Arial" w:hAnsi="Arial" w:cs="Arial"/>
                <w:i/>
                <w:iCs/>
                <w:color w:val="000000"/>
                <w:sz w:val="16"/>
                <w:szCs w:val="16"/>
              </w:rPr>
              <w:t>n</w:t>
            </w:r>
          </w:p>
        </w:tc>
        <w:tc>
          <w:tcPr>
            <w:tcW w:w="246" w:type="pct"/>
            <w:gridSpan w:val="2"/>
            <w:tcBorders>
              <w:top w:val="nil"/>
              <w:left w:val="nil"/>
              <w:bottom w:val="single" w:sz="4" w:space="0" w:color="auto"/>
              <w:right w:val="nil"/>
            </w:tcBorders>
            <w:shd w:val="clear" w:color="auto" w:fill="auto"/>
            <w:noWrap/>
            <w:vAlign w:val="bottom"/>
            <w:hideMark/>
          </w:tcPr>
          <w:p w14:paraId="7B2FD0F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w:t>
            </w:r>
          </w:p>
        </w:tc>
        <w:tc>
          <w:tcPr>
            <w:tcW w:w="1338" w:type="pct"/>
            <w:gridSpan w:val="2"/>
            <w:tcBorders>
              <w:top w:val="nil"/>
              <w:left w:val="nil"/>
              <w:bottom w:val="single" w:sz="4" w:space="0" w:color="auto"/>
              <w:right w:val="nil"/>
            </w:tcBorders>
            <w:shd w:val="clear" w:color="auto" w:fill="auto"/>
            <w:noWrap/>
            <w:vAlign w:val="bottom"/>
            <w:hideMark/>
          </w:tcPr>
          <w:p w14:paraId="747196E2"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 </w:t>
            </w:r>
          </w:p>
        </w:tc>
      </w:tr>
      <w:tr w:rsidR="00B56688" w:rsidRPr="00B56688" w14:paraId="0F15758B" w14:textId="77777777" w:rsidTr="00B56688">
        <w:trPr>
          <w:trHeight w:val="260"/>
        </w:trPr>
        <w:tc>
          <w:tcPr>
            <w:tcW w:w="141" w:type="pct"/>
            <w:tcBorders>
              <w:top w:val="nil"/>
              <w:left w:val="nil"/>
              <w:bottom w:val="nil"/>
              <w:right w:val="nil"/>
            </w:tcBorders>
            <w:shd w:val="clear" w:color="auto" w:fill="auto"/>
            <w:noWrap/>
            <w:vAlign w:val="bottom"/>
            <w:hideMark/>
          </w:tcPr>
          <w:p w14:paraId="20598C9B" w14:textId="77777777" w:rsidR="00B56688" w:rsidRPr="00B56688" w:rsidRDefault="00B56688" w:rsidP="00494032">
            <w:pPr>
              <w:jc w:val="center"/>
              <w:rPr>
                <w:rFonts w:ascii="Arial" w:hAnsi="Arial" w:cs="Arial"/>
                <w:i/>
                <w:iCs/>
                <w:color w:val="000000"/>
                <w:sz w:val="16"/>
                <w:szCs w:val="16"/>
              </w:rPr>
            </w:pPr>
            <w:r w:rsidRPr="00B56688">
              <w:rPr>
                <w:rFonts w:ascii="Arial" w:hAnsi="Arial" w:cs="Arial"/>
                <w:i/>
                <w:iCs/>
                <w:color w:val="000000"/>
                <w:sz w:val="16"/>
                <w:szCs w:val="16"/>
              </w:rPr>
              <w:t>0</w:t>
            </w:r>
          </w:p>
        </w:tc>
        <w:tc>
          <w:tcPr>
            <w:tcW w:w="380" w:type="pct"/>
            <w:tcBorders>
              <w:top w:val="nil"/>
              <w:left w:val="nil"/>
              <w:bottom w:val="nil"/>
              <w:right w:val="nil"/>
            </w:tcBorders>
            <w:shd w:val="clear" w:color="auto" w:fill="auto"/>
            <w:noWrap/>
            <w:vAlign w:val="bottom"/>
            <w:hideMark/>
          </w:tcPr>
          <w:p w14:paraId="2673DDC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4610732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10</w:t>
            </w:r>
          </w:p>
        </w:tc>
        <w:tc>
          <w:tcPr>
            <w:tcW w:w="246" w:type="pct"/>
            <w:gridSpan w:val="2"/>
            <w:tcBorders>
              <w:top w:val="nil"/>
              <w:left w:val="nil"/>
              <w:bottom w:val="nil"/>
              <w:right w:val="nil"/>
            </w:tcBorders>
            <w:shd w:val="clear" w:color="auto" w:fill="auto"/>
            <w:noWrap/>
            <w:vAlign w:val="bottom"/>
            <w:hideMark/>
          </w:tcPr>
          <w:p w14:paraId="001ED18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77%</w:t>
            </w:r>
          </w:p>
        </w:tc>
        <w:tc>
          <w:tcPr>
            <w:tcW w:w="181" w:type="pct"/>
            <w:tcBorders>
              <w:top w:val="nil"/>
              <w:left w:val="nil"/>
              <w:bottom w:val="nil"/>
              <w:right w:val="nil"/>
            </w:tcBorders>
            <w:shd w:val="clear" w:color="auto" w:fill="auto"/>
            <w:noWrap/>
            <w:vAlign w:val="bottom"/>
            <w:hideMark/>
          </w:tcPr>
          <w:p w14:paraId="3957DAA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7A6C8A5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w:t>
            </w:r>
          </w:p>
        </w:tc>
        <w:tc>
          <w:tcPr>
            <w:tcW w:w="142" w:type="pct"/>
            <w:tcBorders>
              <w:top w:val="nil"/>
              <w:left w:val="nil"/>
              <w:bottom w:val="nil"/>
              <w:right w:val="nil"/>
            </w:tcBorders>
            <w:shd w:val="clear" w:color="auto" w:fill="auto"/>
            <w:noWrap/>
            <w:vAlign w:val="bottom"/>
            <w:hideMark/>
          </w:tcPr>
          <w:p w14:paraId="3103367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634E5D5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5060673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87" w:type="pct"/>
            <w:gridSpan w:val="2"/>
            <w:tcBorders>
              <w:top w:val="nil"/>
              <w:left w:val="nil"/>
              <w:bottom w:val="nil"/>
              <w:right w:val="nil"/>
            </w:tcBorders>
            <w:shd w:val="clear" w:color="auto" w:fill="auto"/>
            <w:noWrap/>
            <w:vAlign w:val="bottom"/>
            <w:hideMark/>
          </w:tcPr>
          <w:p w14:paraId="1D6580A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5A064DC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3EE3B35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0" w:type="pct"/>
            <w:tcBorders>
              <w:top w:val="nil"/>
              <w:left w:val="nil"/>
              <w:bottom w:val="nil"/>
              <w:right w:val="nil"/>
            </w:tcBorders>
            <w:shd w:val="clear" w:color="auto" w:fill="auto"/>
            <w:noWrap/>
            <w:vAlign w:val="bottom"/>
            <w:hideMark/>
          </w:tcPr>
          <w:p w14:paraId="406348A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246" w:type="pct"/>
            <w:gridSpan w:val="2"/>
            <w:tcBorders>
              <w:top w:val="nil"/>
              <w:left w:val="nil"/>
              <w:bottom w:val="nil"/>
              <w:right w:val="nil"/>
            </w:tcBorders>
            <w:shd w:val="clear" w:color="auto" w:fill="auto"/>
            <w:noWrap/>
            <w:vAlign w:val="bottom"/>
            <w:hideMark/>
          </w:tcPr>
          <w:p w14:paraId="3BE7E04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15%</w:t>
            </w:r>
          </w:p>
        </w:tc>
        <w:tc>
          <w:tcPr>
            <w:tcW w:w="222" w:type="pct"/>
            <w:tcBorders>
              <w:top w:val="nil"/>
              <w:left w:val="nil"/>
              <w:bottom w:val="nil"/>
              <w:right w:val="nil"/>
            </w:tcBorders>
            <w:shd w:val="clear" w:color="auto" w:fill="auto"/>
            <w:noWrap/>
            <w:vAlign w:val="bottom"/>
            <w:hideMark/>
          </w:tcPr>
          <w:p w14:paraId="4994C07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w:t>
            </w:r>
          </w:p>
        </w:tc>
        <w:tc>
          <w:tcPr>
            <w:tcW w:w="246" w:type="pct"/>
            <w:gridSpan w:val="2"/>
            <w:tcBorders>
              <w:top w:val="nil"/>
              <w:left w:val="nil"/>
              <w:bottom w:val="nil"/>
              <w:right w:val="nil"/>
            </w:tcBorders>
            <w:shd w:val="clear" w:color="auto" w:fill="auto"/>
            <w:noWrap/>
            <w:vAlign w:val="bottom"/>
            <w:hideMark/>
          </w:tcPr>
          <w:p w14:paraId="6AA77A0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38%</w:t>
            </w:r>
          </w:p>
        </w:tc>
        <w:tc>
          <w:tcPr>
            <w:tcW w:w="1338" w:type="pct"/>
            <w:gridSpan w:val="2"/>
            <w:tcBorders>
              <w:top w:val="nil"/>
              <w:left w:val="nil"/>
              <w:bottom w:val="nil"/>
              <w:right w:val="nil"/>
            </w:tcBorders>
            <w:shd w:val="clear" w:color="auto" w:fill="auto"/>
            <w:noWrap/>
            <w:vAlign w:val="bottom"/>
            <w:hideMark/>
          </w:tcPr>
          <w:p w14:paraId="36023E1B"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Girolamo et al. (2022)</w:t>
            </w:r>
          </w:p>
        </w:tc>
      </w:tr>
      <w:tr w:rsidR="00B56688" w:rsidRPr="00B56688" w14:paraId="37B08B30" w14:textId="77777777" w:rsidTr="00B56688">
        <w:trPr>
          <w:trHeight w:val="260"/>
        </w:trPr>
        <w:tc>
          <w:tcPr>
            <w:tcW w:w="141" w:type="pct"/>
            <w:tcBorders>
              <w:top w:val="nil"/>
              <w:left w:val="nil"/>
              <w:bottom w:val="nil"/>
              <w:right w:val="nil"/>
            </w:tcBorders>
            <w:shd w:val="clear" w:color="auto" w:fill="auto"/>
            <w:noWrap/>
            <w:vAlign w:val="bottom"/>
            <w:hideMark/>
          </w:tcPr>
          <w:p w14:paraId="454AFFE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80" w:type="pct"/>
            <w:tcBorders>
              <w:top w:val="nil"/>
              <w:left w:val="nil"/>
              <w:bottom w:val="nil"/>
              <w:right w:val="nil"/>
            </w:tcBorders>
            <w:shd w:val="clear" w:color="auto" w:fill="auto"/>
            <w:noWrap/>
            <w:vAlign w:val="bottom"/>
            <w:hideMark/>
          </w:tcPr>
          <w:p w14:paraId="694839C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12DD609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246" w:type="pct"/>
            <w:gridSpan w:val="2"/>
            <w:tcBorders>
              <w:top w:val="nil"/>
              <w:left w:val="nil"/>
              <w:bottom w:val="nil"/>
              <w:right w:val="nil"/>
            </w:tcBorders>
            <w:shd w:val="clear" w:color="auto" w:fill="auto"/>
            <w:noWrap/>
            <w:vAlign w:val="bottom"/>
            <w:hideMark/>
          </w:tcPr>
          <w:p w14:paraId="51D007E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181" w:type="pct"/>
            <w:tcBorders>
              <w:top w:val="nil"/>
              <w:left w:val="nil"/>
              <w:bottom w:val="nil"/>
              <w:right w:val="nil"/>
            </w:tcBorders>
            <w:shd w:val="clear" w:color="auto" w:fill="auto"/>
            <w:noWrap/>
            <w:vAlign w:val="bottom"/>
            <w:hideMark/>
          </w:tcPr>
          <w:p w14:paraId="34CD055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38527FD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2" w:type="pct"/>
            <w:tcBorders>
              <w:top w:val="nil"/>
              <w:left w:val="nil"/>
              <w:bottom w:val="nil"/>
              <w:right w:val="nil"/>
            </w:tcBorders>
            <w:shd w:val="clear" w:color="auto" w:fill="auto"/>
            <w:noWrap/>
            <w:vAlign w:val="bottom"/>
            <w:hideMark/>
          </w:tcPr>
          <w:p w14:paraId="4FFF65D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315" w:type="pct"/>
            <w:gridSpan w:val="2"/>
            <w:tcBorders>
              <w:top w:val="nil"/>
              <w:left w:val="nil"/>
              <w:bottom w:val="nil"/>
              <w:right w:val="nil"/>
            </w:tcBorders>
            <w:shd w:val="clear" w:color="auto" w:fill="auto"/>
            <w:noWrap/>
            <w:vAlign w:val="bottom"/>
            <w:hideMark/>
          </w:tcPr>
          <w:p w14:paraId="13F4052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263" w:type="pct"/>
            <w:tcBorders>
              <w:top w:val="nil"/>
              <w:left w:val="nil"/>
              <w:bottom w:val="nil"/>
              <w:right w:val="nil"/>
            </w:tcBorders>
            <w:shd w:val="clear" w:color="auto" w:fill="auto"/>
            <w:noWrap/>
            <w:vAlign w:val="bottom"/>
            <w:hideMark/>
          </w:tcPr>
          <w:p w14:paraId="1375E37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108</w:t>
            </w:r>
          </w:p>
        </w:tc>
        <w:tc>
          <w:tcPr>
            <w:tcW w:w="287" w:type="pct"/>
            <w:gridSpan w:val="2"/>
            <w:tcBorders>
              <w:top w:val="nil"/>
              <w:left w:val="nil"/>
              <w:bottom w:val="nil"/>
              <w:right w:val="nil"/>
            </w:tcBorders>
            <w:shd w:val="clear" w:color="auto" w:fill="auto"/>
            <w:noWrap/>
            <w:vAlign w:val="bottom"/>
            <w:hideMark/>
          </w:tcPr>
          <w:p w14:paraId="2CA4E8B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86%</w:t>
            </w:r>
          </w:p>
        </w:tc>
        <w:tc>
          <w:tcPr>
            <w:tcW w:w="181" w:type="pct"/>
            <w:tcBorders>
              <w:top w:val="nil"/>
              <w:left w:val="nil"/>
              <w:bottom w:val="nil"/>
              <w:right w:val="nil"/>
            </w:tcBorders>
            <w:shd w:val="clear" w:color="auto" w:fill="auto"/>
            <w:noWrap/>
            <w:vAlign w:val="bottom"/>
            <w:hideMark/>
          </w:tcPr>
          <w:p w14:paraId="4D81423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10</w:t>
            </w:r>
          </w:p>
        </w:tc>
        <w:tc>
          <w:tcPr>
            <w:tcW w:w="246" w:type="pct"/>
            <w:gridSpan w:val="2"/>
            <w:tcBorders>
              <w:top w:val="nil"/>
              <w:left w:val="nil"/>
              <w:bottom w:val="nil"/>
              <w:right w:val="nil"/>
            </w:tcBorders>
            <w:shd w:val="clear" w:color="auto" w:fill="auto"/>
            <w:noWrap/>
            <w:vAlign w:val="bottom"/>
            <w:hideMark/>
          </w:tcPr>
          <w:p w14:paraId="72D65AF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w:t>
            </w:r>
          </w:p>
        </w:tc>
        <w:tc>
          <w:tcPr>
            <w:tcW w:w="140" w:type="pct"/>
            <w:tcBorders>
              <w:top w:val="nil"/>
              <w:left w:val="nil"/>
              <w:bottom w:val="nil"/>
              <w:right w:val="nil"/>
            </w:tcBorders>
            <w:shd w:val="clear" w:color="auto" w:fill="auto"/>
            <w:noWrap/>
            <w:vAlign w:val="bottom"/>
            <w:hideMark/>
          </w:tcPr>
          <w:p w14:paraId="246BF8B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5D324A3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22" w:type="pct"/>
            <w:tcBorders>
              <w:top w:val="nil"/>
              <w:left w:val="nil"/>
              <w:bottom w:val="nil"/>
              <w:right w:val="nil"/>
            </w:tcBorders>
            <w:shd w:val="clear" w:color="auto" w:fill="auto"/>
            <w:noWrap/>
            <w:vAlign w:val="bottom"/>
            <w:hideMark/>
          </w:tcPr>
          <w:p w14:paraId="6D552A5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w:t>
            </w:r>
          </w:p>
        </w:tc>
        <w:tc>
          <w:tcPr>
            <w:tcW w:w="246" w:type="pct"/>
            <w:gridSpan w:val="2"/>
            <w:tcBorders>
              <w:top w:val="nil"/>
              <w:left w:val="nil"/>
              <w:bottom w:val="nil"/>
              <w:right w:val="nil"/>
            </w:tcBorders>
            <w:shd w:val="clear" w:color="auto" w:fill="auto"/>
            <w:noWrap/>
            <w:vAlign w:val="bottom"/>
            <w:hideMark/>
          </w:tcPr>
          <w:p w14:paraId="7746451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1338" w:type="pct"/>
            <w:gridSpan w:val="2"/>
            <w:tcBorders>
              <w:top w:val="nil"/>
              <w:left w:val="nil"/>
              <w:bottom w:val="nil"/>
              <w:right w:val="nil"/>
            </w:tcBorders>
            <w:shd w:val="clear" w:color="auto" w:fill="auto"/>
            <w:noWrap/>
            <w:vAlign w:val="bottom"/>
            <w:hideMark/>
          </w:tcPr>
          <w:p w14:paraId="5DD46195"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Prescott &amp; Ellis Weismer (2021, 2022)</w:t>
            </w:r>
          </w:p>
        </w:tc>
      </w:tr>
      <w:tr w:rsidR="00B56688" w:rsidRPr="00B56688" w14:paraId="186A55A6" w14:textId="77777777" w:rsidTr="00B56688">
        <w:trPr>
          <w:trHeight w:val="260"/>
        </w:trPr>
        <w:tc>
          <w:tcPr>
            <w:tcW w:w="141" w:type="pct"/>
            <w:tcBorders>
              <w:top w:val="nil"/>
              <w:left w:val="nil"/>
              <w:bottom w:val="nil"/>
              <w:right w:val="nil"/>
            </w:tcBorders>
            <w:shd w:val="clear" w:color="auto" w:fill="auto"/>
            <w:noWrap/>
            <w:vAlign w:val="bottom"/>
            <w:hideMark/>
          </w:tcPr>
          <w:p w14:paraId="0AD8862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380" w:type="pct"/>
            <w:tcBorders>
              <w:top w:val="nil"/>
              <w:left w:val="nil"/>
              <w:bottom w:val="nil"/>
              <w:right w:val="nil"/>
            </w:tcBorders>
            <w:shd w:val="clear" w:color="auto" w:fill="auto"/>
            <w:noWrap/>
            <w:vAlign w:val="bottom"/>
            <w:hideMark/>
          </w:tcPr>
          <w:p w14:paraId="2F9F7E9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w:t>
            </w:r>
          </w:p>
        </w:tc>
        <w:tc>
          <w:tcPr>
            <w:tcW w:w="181" w:type="pct"/>
            <w:tcBorders>
              <w:top w:val="nil"/>
              <w:left w:val="nil"/>
              <w:bottom w:val="nil"/>
              <w:right w:val="nil"/>
            </w:tcBorders>
            <w:shd w:val="clear" w:color="auto" w:fill="auto"/>
            <w:noWrap/>
            <w:vAlign w:val="bottom"/>
            <w:hideMark/>
          </w:tcPr>
          <w:p w14:paraId="14C7C9A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4F8F2BD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42917E5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w:t>
            </w:r>
          </w:p>
        </w:tc>
        <w:tc>
          <w:tcPr>
            <w:tcW w:w="246" w:type="pct"/>
            <w:gridSpan w:val="2"/>
            <w:tcBorders>
              <w:top w:val="nil"/>
              <w:left w:val="nil"/>
              <w:bottom w:val="nil"/>
              <w:right w:val="nil"/>
            </w:tcBorders>
            <w:shd w:val="clear" w:color="auto" w:fill="auto"/>
            <w:noWrap/>
            <w:vAlign w:val="bottom"/>
            <w:hideMark/>
          </w:tcPr>
          <w:p w14:paraId="62A9BCE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40%</w:t>
            </w:r>
          </w:p>
        </w:tc>
        <w:tc>
          <w:tcPr>
            <w:tcW w:w="142" w:type="pct"/>
            <w:tcBorders>
              <w:top w:val="nil"/>
              <w:left w:val="nil"/>
              <w:bottom w:val="nil"/>
              <w:right w:val="nil"/>
            </w:tcBorders>
            <w:shd w:val="clear" w:color="auto" w:fill="auto"/>
            <w:noWrap/>
            <w:vAlign w:val="bottom"/>
            <w:hideMark/>
          </w:tcPr>
          <w:p w14:paraId="24BFF0B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7281477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649F443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w:t>
            </w:r>
          </w:p>
        </w:tc>
        <w:tc>
          <w:tcPr>
            <w:tcW w:w="287" w:type="pct"/>
            <w:gridSpan w:val="2"/>
            <w:tcBorders>
              <w:top w:val="nil"/>
              <w:left w:val="nil"/>
              <w:bottom w:val="nil"/>
              <w:right w:val="nil"/>
            </w:tcBorders>
            <w:shd w:val="clear" w:color="auto" w:fill="auto"/>
            <w:noWrap/>
            <w:vAlign w:val="bottom"/>
            <w:hideMark/>
          </w:tcPr>
          <w:p w14:paraId="4D08133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40%</w:t>
            </w:r>
          </w:p>
        </w:tc>
        <w:tc>
          <w:tcPr>
            <w:tcW w:w="181" w:type="pct"/>
            <w:tcBorders>
              <w:top w:val="nil"/>
              <w:left w:val="nil"/>
              <w:bottom w:val="nil"/>
              <w:right w:val="nil"/>
            </w:tcBorders>
            <w:shd w:val="clear" w:color="auto" w:fill="auto"/>
            <w:noWrap/>
            <w:vAlign w:val="bottom"/>
            <w:hideMark/>
          </w:tcPr>
          <w:p w14:paraId="49D5479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16296C2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0" w:type="pct"/>
            <w:tcBorders>
              <w:top w:val="nil"/>
              <w:left w:val="nil"/>
              <w:bottom w:val="nil"/>
              <w:right w:val="nil"/>
            </w:tcBorders>
            <w:shd w:val="clear" w:color="auto" w:fill="auto"/>
            <w:noWrap/>
            <w:vAlign w:val="bottom"/>
            <w:hideMark/>
          </w:tcPr>
          <w:p w14:paraId="4E27531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55AB45F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22" w:type="pct"/>
            <w:tcBorders>
              <w:top w:val="nil"/>
              <w:left w:val="nil"/>
              <w:bottom w:val="nil"/>
              <w:right w:val="nil"/>
            </w:tcBorders>
            <w:shd w:val="clear" w:color="auto" w:fill="auto"/>
            <w:noWrap/>
            <w:vAlign w:val="bottom"/>
            <w:hideMark/>
          </w:tcPr>
          <w:p w14:paraId="26A6E4F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246" w:type="pct"/>
            <w:gridSpan w:val="2"/>
            <w:tcBorders>
              <w:top w:val="nil"/>
              <w:left w:val="nil"/>
              <w:bottom w:val="nil"/>
              <w:right w:val="nil"/>
            </w:tcBorders>
            <w:shd w:val="clear" w:color="auto" w:fill="auto"/>
            <w:noWrap/>
            <w:vAlign w:val="bottom"/>
            <w:hideMark/>
          </w:tcPr>
          <w:p w14:paraId="6BAA132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15%</w:t>
            </w:r>
          </w:p>
        </w:tc>
        <w:tc>
          <w:tcPr>
            <w:tcW w:w="1338" w:type="pct"/>
            <w:gridSpan w:val="2"/>
            <w:tcBorders>
              <w:top w:val="nil"/>
              <w:left w:val="nil"/>
              <w:bottom w:val="nil"/>
              <w:right w:val="nil"/>
            </w:tcBorders>
            <w:shd w:val="clear" w:color="auto" w:fill="auto"/>
            <w:noWrap/>
            <w:vAlign w:val="bottom"/>
            <w:hideMark/>
          </w:tcPr>
          <w:p w14:paraId="76AE511A"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Hart &amp; Curtin (2021)</w:t>
            </w:r>
          </w:p>
        </w:tc>
      </w:tr>
      <w:tr w:rsidR="00B56688" w:rsidRPr="00B56688" w14:paraId="056D9E89" w14:textId="77777777" w:rsidTr="00B56688">
        <w:trPr>
          <w:trHeight w:val="260"/>
        </w:trPr>
        <w:tc>
          <w:tcPr>
            <w:tcW w:w="141" w:type="pct"/>
            <w:tcBorders>
              <w:top w:val="nil"/>
              <w:left w:val="nil"/>
              <w:bottom w:val="nil"/>
              <w:right w:val="nil"/>
            </w:tcBorders>
            <w:shd w:val="clear" w:color="auto" w:fill="auto"/>
            <w:noWrap/>
            <w:vAlign w:val="bottom"/>
            <w:hideMark/>
          </w:tcPr>
          <w:p w14:paraId="426476E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80" w:type="pct"/>
            <w:tcBorders>
              <w:top w:val="nil"/>
              <w:left w:val="nil"/>
              <w:bottom w:val="nil"/>
              <w:right w:val="nil"/>
            </w:tcBorders>
            <w:shd w:val="clear" w:color="auto" w:fill="auto"/>
            <w:noWrap/>
            <w:vAlign w:val="bottom"/>
            <w:hideMark/>
          </w:tcPr>
          <w:p w14:paraId="23316AB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39D77AD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1A90893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35EBAC5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2D3E438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2" w:type="pct"/>
            <w:tcBorders>
              <w:top w:val="nil"/>
              <w:left w:val="nil"/>
              <w:bottom w:val="nil"/>
              <w:right w:val="nil"/>
            </w:tcBorders>
            <w:shd w:val="clear" w:color="auto" w:fill="auto"/>
            <w:noWrap/>
            <w:vAlign w:val="bottom"/>
            <w:hideMark/>
          </w:tcPr>
          <w:p w14:paraId="48B1F41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6DEE63A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6D72188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21</w:t>
            </w:r>
          </w:p>
        </w:tc>
        <w:tc>
          <w:tcPr>
            <w:tcW w:w="287" w:type="pct"/>
            <w:gridSpan w:val="2"/>
            <w:tcBorders>
              <w:top w:val="nil"/>
              <w:left w:val="nil"/>
              <w:bottom w:val="nil"/>
              <w:right w:val="nil"/>
            </w:tcBorders>
            <w:shd w:val="clear" w:color="auto" w:fill="auto"/>
            <w:noWrap/>
            <w:vAlign w:val="bottom"/>
            <w:hideMark/>
          </w:tcPr>
          <w:p w14:paraId="4D2477B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100%</w:t>
            </w:r>
          </w:p>
        </w:tc>
        <w:tc>
          <w:tcPr>
            <w:tcW w:w="181" w:type="pct"/>
            <w:tcBorders>
              <w:top w:val="nil"/>
              <w:left w:val="nil"/>
              <w:bottom w:val="nil"/>
              <w:right w:val="nil"/>
            </w:tcBorders>
            <w:shd w:val="clear" w:color="auto" w:fill="auto"/>
            <w:noWrap/>
            <w:vAlign w:val="bottom"/>
            <w:hideMark/>
          </w:tcPr>
          <w:p w14:paraId="0B11A4F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3EF33AE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0" w:type="pct"/>
            <w:tcBorders>
              <w:top w:val="nil"/>
              <w:left w:val="nil"/>
              <w:bottom w:val="nil"/>
              <w:right w:val="nil"/>
            </w:tcBorders>
            <w:shd w:val="clear" w:color="auto" w:fill="auto"/>
            <w:noWrap/>
            <w:vAlign w:val="bottom"/>
            <w:hideMark/>
          </w:tcPr>
          <w:p w14:paraId="1427843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4B07F2B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22" w:type="pct"/>
            <w:tcBorders>
              <w:top w:val="nil"/>
              <w:left w:val="nil"/>
              <w:bottom w:val="nil"/>
              <w:right w:val="nil"/>
            </w:tcBorders>
            <w:shd w:val="clear" w:color="auto" w:fill="auto"/>
            <w:noWrap/>
            <w:vAlign w:val="bottom"/>
            <w:hideMark/>
          </w:tcPr>
          <w:p w14:paraId="0AF7544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4D694D6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338" w:type="pct"/>
            <w:gridSpan w:val="2"/>
            <w:tcBorders>
              <w:top w:val="nil"/>
              <w:left w:val="nil"/>
              <w:bottom w:val="nil"/>
              <w:right w:val="nil"/>
            </w:tcBorders>
            <w:shd w:val="clear" w:color="auto" w:fill="auto"/>
            <w:noWrap/>
            <w:vAlign w:val="bottom"/>
            <w:hideMark/>
          </w:tcPr>
          <w:p w14:paraId="5BCA92C6"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Jokel et al. (2021)</w:t>
            </w:r>
          </w:p>
        </w:tc>
      </w:tr>
      <w:tr w:rsidR="00B56688" w:rsidRPr="00B56688" w14:paraId="71155382" w14:textId="77777777" w:rsidTr="00B56688">
        <w:trPr>
          <w:trHeight w:val="260"/>
        </w:trPr>
        <w:tc>
          <w:tcPr>
            <w:tcW w:w="141" w:type="pct"/>
            <w:tcBorders>
              <w:top w:val="nil"/>
              <w:left w:val="nil"/>
              <w:bottom w:val="nil"/>
              <w:right w:val="nil"/>
            </w:tcBorders>
            <w:shd w:val="clear" w:color="auto" w:fill="auto"/>
            <w:noWrap/>
            <w:vAlign w:val="bottom"/>
            <w:hideMark/>
          </w:tcPr>
          <w:p w14:paraId="596790C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80" w:type="pct"/>
            <w:tcBorders>
              <w:top w:val="nil"/>
              <w:left w:val="nil"/>
              <w:bottom w:val="nil"/>
              <w:right w:val="nil"/>
            </w:tcBorders>
            <w:shd w:val="clear" w:color="auto" w:fill="auto"/>
            <w:noWrap/>
            <w:vAlign w:val="bottom"/>
            <w:hideMark/>
          </w:tcPr>
          <w:p w14:paraId="75295C0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4EBBAA6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6</w:t>
            </w:r>
          </w:p>
        </w:tc>
        <w:tc>
          <w:tcPr>
            <w:tcW w:w="246" w:type="pct"/>
            <w:gridSpan w:val="2"/>
            <w:tcBorders>
              <w:top w:val="nil"/>
              <w:left w:val="nil"/>
              <w:bottom w:val="nil"/>
              <w:right w:val="nil"/>
            </w:tcBorders>
            <w:shd w:val="clear" w:color="auto" w:fill="auto"/>
            <w:noWrap/>
            <w:vAlign w:val="bottom"/>
            <w:hideMark/>
          </w:tcPr>
          <w:p w14:paraId="1084AD4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60%</w:t>
            </w:r>
          </w:p>
        </w:tc>
        <w:tc>
          <w:tcPr>
            <w:tcW w:w="181" w:type="pct"/>
            <w:tcBorders>
              <w:top w:val="nil"/>
              <w:left w:val="nil"/>
              <w:bottom w:val="nil"/>
              <w:right w:val="nil"/>
            </w:tcBorders>
            <w:shd w:val="clear" w:color="auto" w:fill="auto"/>
            <w:noWrap/>
            <w:vAlign w:val="bottom"/>
            <w:hideMark/>
          </w:tcPr>
          <w:p w14:paraId="4CF916D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0AED6AC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10%</w:t>
            </w:r>
          </w:p>
        </w:tc>
        <w:tc>
          <w:tcPr>
            <w:tcW w:w="142" w:type="pct"/>
            <w:tcBorders>
              <w:top w:val="nil"/>
              <w:left w:val="nil"/>
              <w:bottom w:val="nil"/>
              <w:right w:val="nil"/>
            </w:tcBorders>
            <w:shd w:val="clear" w:color="auto" w:fill="auto"/>
            <w:noWrap/>
            <w:vAlign w:val="bottom"/>
            <w:hideMark/>
          </w:tcPr>
          <w:p w14:paraId="5127259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65DB14D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20BC1C6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87" w:type="pct"/>
            <w:gridSpan w:val="2"/>
            <w:tcBorders>
              <w:top w:val="nil"/>
              <w:left w:val="nil"/>
              <w:bottom w:val="nil"/>
              <w:right w:val="nil"/>
            </w:tcBorders>
            <w:shd w:val="clear" w:color="auto" w:fill="auto"/>
            <w:noWrap/>
            <w:vAlign w:val="bottom"/>
            <w:hideMark/>
          </w:tcPr>
          <w:p w14:paraId="6B9B800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10%</w:t>
            </w:r>
          </w:p>
        </w:tc>
        <w:tc>
          <w:tcPr>
            <w:tcW w:w="181" w:type="pct"/>
            <w:tcBorders>
              <w:top w:val="nil"/>
              <w:left w:val="nil"/>
              <w:bottom w:val="nil"/>
              <w:right w:val="nil"/>
            </w:tcBorders>
            <w:shd w:val="clear" w:color="auto" w:fill="auto"/>
            <w:noWrap/>
            <w:vAlign w:val="bottom"/>
            <w:hideMark/>
          </w:tcPr>
          <w:p w14:paraId="478A6A4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241AE29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10%</w:t>
            </w:r>
          </w:p>
        </w:tc>
        <w:tc>
          <w:tcPr>
            <w:tcW w:w="140" w:type="pct"/>
            <w:tcBorders>
              <w:top w:val="nil"/>
              <w:left w:val="nil"/>
              <w:bottom w:val="nil"/>
              <w:right w:val="nil"/>
            </w:tcBorders>
            <w:shd w:val="clear" w:color="auto" w:fill="auto"/>
            <w:noWrap/>
            <w:vAlign w:val="bottom"/>
            <w:hideMark/>
          </w:tcPr>
          <w:p w14:paraId="3674277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211B64F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10%</w:t>
            </w:r>
          </w:p>
        </w:tc>
        <w:tc>
          <w:tcPr>
            <w:tcW w:w="222" w:type="pct"/>
            <w:tcBorders>
              <w:top w:val="nil"/>
              <w:left w:val="nil"/>
              <w:bottom w:val="nil"/>
              <w:right w:val="nil"/>
            </w:tcBorders>
            <w:shd w:val="clear" w:color="auto" w:fill="auto"/>
            <w:noWrap/>
            <w:vAlign w:val="bottom"/>
            <w:hideMark/>
          </w:tcPr>
          <w:p w14:paraId="32FE067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w:t>
            </w:r>
          </w:p>
        </w:tc>
        <w:tc>
          <w:tcPr>
            <w:tcW w:w="246" w:type="pct"/>
            <w:gridSpan w:val="2"/>
            <w:tcBorders>
              <w:top w:val="nil"/>
              <w:left w:val="nil"/>
              <w:bottom w:val="nil"/>
              <w:right w:val="nil"/>
            </w:tcBorders>
            <w:shd w:val="clear" w:color="auto" w:fill="auto"/>
            <w:noWrap/>
            <w:vAlign w:val="bottom"/>
            <w:hideMark/>
          </w:tcPr>
          <w:p w14:paraId="5649F04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50%</w:t>
            </w:r>
          </w:p>
        </w:tc>
        <w:tc>
          <w:tcPr>
            <w:tcW w:w="1338" w:type="pct"/>
            <w:gridSpan w:val="2"/>
            <w:tcBorders>
              <w:top w:val="nil"/>
              <w:left w:val="nil"/>
              <w:bottom w:val="nil"/>
              <w:right w:val="nil"/>
            </w:tcBorders>
            <w:shd w:val="clear" w:color="auto" w:fill="auto"/>
            <w:noWrap/>
            <w:vAlign w:val="bottom"/>
            <w:hideMark/>
          </w:tcPr>
          <w:p w14:paraId="6D9465E1"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Girolamo et al. (2020)</w:t>
            </w:r>
          </w:p>
        </w:tc>
      </w:tr>
      <w:tr w:rsidR="00B56688" w:rsidRPr="00B56688" w14:paraId="4012FA72" w14:textId="77777777" w:rsidTr="00B56688">
        <w:trPr>
          <w:trHeight w:val="260"/>
        </w:trPr>
        <w:tc>
          <w:tcPr>
            <w:tcW w:w="141" w:type="pct"/>
            <w:tcBorders>
              <w:top w:val="nil"/>
              <w:left w:val="nil"/>
              <w:bottom w:val="nil"/>
              <w:right w:val="nil"/>
            </w:tcBorders>
            <w:shd w:val="clear" w:color="auto" w:fill="auto"/>
            <w:noWrap/>
            <w:vAlign w:val="bottom"/>
            <w:hideMark/>
          </w:tcPr>
          <w:p w14:paraId="5A319C4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80" w:type="pct"/>
            <w:tcBorders>
              <w:top w:val="nil"/>
              <w:left w:val="nil"/>
              <w:bottom w:val="nil"/>
              <w:right w:val="nil"/>
            </w:tcBorders>
            <w:shd w:val="clear" w:color="auto" w:fill="auto"/>
            <w:noWrap/>
            <w:vAlign w:val="bottom"/>
            <w:hideMark/>
          </w:tcPr>
          <w:p w14:paraId="3C45725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4F3F401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488A110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181" w:type="pct"/>
            <w:tcBorders>
              <w:top w:val="nil"/>
              <w:left w:val="nil"/>
              <w:bottom w:val="nil"/>
              <w:right w:val="nil"/>
            </w:tcBorders>
            <w:shd w:val="clear" w:color="auto" w:fill="auto"/>
            <w:noWrap/>
            <w:vAlign w:val="bottom"/>
            <w:hideMark/>
          </w:tcPr>
          <w:p w14:paraId="73BB807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246" w:type="pct"/>
            <w:gridSpan w:val="2"/>
            <w:tcBorders>
              <w:top w:val="nil"/>
              <w:left w:val="nil"/>
              <w:bottom w:val="nil"/>
              <w:right w:val="nil"/>
            </w:tcBorders>
            <w:shd w:val="clear" w:color="auto" w:fill="auto"/>
            <w:noWrap/>
            <w:vAlign w:val="bottom"/>
            <w:hideMark/>
          </w:tcPr>
          <w:p w14:paraId="7B3B85E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w:t>
            </w:r>
          </w:p>
        </w:tc>
        <w:tc>
          <w:tcPr>
            <w:tcW w:w="142" w:type="pct"/>
            <w:tcBorders>
              <w:top w:val="nil"/>
              <w:left w:val="nil"/>
              <w:bottom w:val="nil"/>
              <w:right w:val="nil"/>
            </w:tcBorders>
            <w:shd w:val="clear" w:color="auto" w:fill="auto"/>
            <w:noWrap/>
            <w:vAlign w:val="bottom"/>
            <w:hideMark/>
          </w:tcPr>
          <w:p w14:paraId="358BFB4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5634AED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3E2416D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31</w:t>
            </w:r>
          </w:p>
        </w:tc>
        <w:tc>
          <w:tcPr>
            <w:tcW w:w="287" w:type="pct"/>
            <w:gridSpan w:val="2"/>
            <w:tcBorders>
              <w:top w:val="nil"/>
              <w:left w:val="nil"/>
              <w:bottom w:val="nil"/>
              <w:right w:val="nil"/>
            </w:tcBorders>
            <w:shd w:val="clear" w:color="auto" w:fill="auto"/>
            <w:noWrap/>
            <w:vAlign w:val="bottom"/>
            <w:hideMark/>
          </w:tcPr>
          <w:p w14:paraId="098E154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84%</w:t>
            </w:r>
          </w:p>
        </w:tc>
        <w:tc>
          <w:tcPr>
            <w:tcW w:w="181" w:type="pct"/>
            <w:tcBorders>
              <w:top w:val="nil"/>
              <w:left w:val="nil"/>
              <w:bottom w:val="nil"/>
              <w:right w:val="nil"/>
            </w:tcBorders>
            <w:shd w:val="clear" w:color="auto" w:fill="auto"/>
            <w:noWrap/>
            <w:vAlign w:val="bottom"/>
            <w:hideMark/>
          </w:tcPr>
          <w:p w14:paraId="2AD3C58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194C7E8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140" w:type="pct"/>
            <w:tcBorders>
              <w:top w:val="nil"/>
              <w:left w:val="nil"/>
              <w:bottom w:val="nil"/>
              <w:right w:val="nil"/>
            </w:tcBorders>
            <w:shd w:val="clear" w:color="auto" w:fill="auto"/>
            <w:noWrap/>
            <w:vAlign w:val="bottom"/>
            <w:hideMark/>
          </w:tcPr>
          <w:p w14:paraId="269E5E9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249F185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222" w:type="pct"/>
            <w:tcBorders>
              <w:top w:val="nil"/>
              <w:left w:val="nil"/>
              <w:bottom w:val="nil"/>
              <w:right w:val="nil"/>
            </w:tcBorders>
            <w:shd w:val="clear" w:color="auto" w:fill="auto"/>
            <w:noWrap/>
            <w:vAlign w:val="bottom"/>
            <w:hideMark/>
          </w:tcPr>
          <w:p w14:paraId="067509B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246" w:type="pct"/>
            <w:gridSpan w:val="2"/>
            <w:tcBorders>
              <w:top w:val="nil"/>
              <w:left w:val="nil"/>
              <w:bottom w:val="nil"/>
              <w:right w:val="nil"/>
            </w:tcBorders>
            <w:shd w:val="clear" w:color="auto" w:fill="auto"/>
            <w:noWrap/>
            <w:vAlign w:val="bottom"/>
            <w:hideMark/>
          </w:tcPr>
          <w:p w14:paraId="530251A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w:t>
            </w:r>
          </w:p>
        </w:tc>
        <w:tc>
          <w:tcPr>
            <w:tcW w:w="1338" w:type="pct"/>
            <w:gridSpan w:val="2"/>
            <w:tcBorders>
              <w:top w:val="nil"/>
              <w:left w:val="nil"/>
              <w:bottom w:val="nil"/>
              <w:right w:val="nil"/>
            </w:tcBorders>
            <w:shd w:val="clear" w:color="auto" w:fill="auto"/>
            <w:noWrap/>
            <w:vAlign w:val="bottom"/>
            <w:hideMark/>
          </w:tcPr>
          <w:p w14:paraId="1B023E0B"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Sterling (2018)</w:t>
            </w:r>
          </w:p>
        </w:tc>
      </w:tr>
      <w:tr w:rsidR="00B56688" w:rsidRPr="00B56688" w14:paraId="3409BDA0" w14:textId="77777777" w:rsidTr="00B56688">
        <w:trPr>
          <w:trHeight w:val="260"/>
        </w:trPr>
        <w:tc>
          <w:tcPr>
            <w:tcW w:w="141" w:type="pct"/>
            <w:tcBorders>
              <w:top w:val="nil"/>
              <w:left w:val="nil"/>
              <w:bottom w:val="nil"/>
              <w:right w:val="nil"/>
            </w:tcBorders>
            <w:shd w:val="clear" w:color="auto" w:fill="auto"/>
            <w:noWrap/>
            <w:vAlign w:val="bottom"/>
            <w:hideMark/>
          </w:tcPr>
          <w:p w14:paraId="331EC81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80" w:type="pct"/>
            <w:tcBorders>
              <w:top w:val="nil"/>
              <w:left w:val="nil"/>
              <w:bottom w:val="nil"/>
              <w:right w:val="nil"/>
            </w:tcBorders>
            <w:shd w:val="clear" w:color="000000" w:fill="E7E6E6"/>
            <w:noWrap/>
            <w:vAlign w:val="bottom"/>
            <w:hideMark/>
          </w:tcPr>
          <w:p w14:paraId="3EEE408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181" w:type="pct"/>
            <w:tcBorders>
              <w:top w:val="nil"/>
              <w:left w:val="nil"/>
              <w:bottom w:val="nil"/>
              <w:right w:val="nil"/>
            </w:tcBorders>
            <w:shd w:val="clear" w:color="000000" w:fill="E7E6E6"/>
            <w:noWrap/>
            <w:vAlign w:val="bottom"/>
            <w:hideMark/>
          </w:tcPr>
          <w:p w14:paraId="552DE9F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246" w:type="pct"/>
            <w:gridSpan w:val="2"/>
            <w:tcBorders>
              <w:top w:val="nil"/>
              <w:left w:val="nil"/>
              <w:bottom w:val="nil"/>
              <w:right w:val="nil"/>
            </w:tcBorders>
            <w:shd w:val="clear" w:color="000000" w:fill="E7E6E6"/>
            <w:noWrap/>
            <w:vAlign w:val="bottom"/>
            <w:hideMark/>
          </w:tcPr>
          <w:p w14:paraId="5D754C5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181" w:type="pct"/>
            <w:tcBorders>
              <w:top w:val="nil"/>
              <w:left w:val="nil"/>
              <w:bottom w:val="nil"/>
              <w:right w:val="nil"/>
            </w:tcBorders>
            <w:shd w:val="clear" w:color="000000" w:fill="E7E6E6"/>
            <w:noWrap/>
            <w:vAlign w:val="bottom"/>
            <w:hideMark/>
          </w:tcPr>
          <w:p w14:paraId="77FDCA5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246" w:type="pct"/>
            <w:gridSpan w:val="2"/>
            <w:tcBorders>
              <w:top w:val="nil"/>
              <w:left w:val="nil"/>
              <w:bottom w:val="nil"/>
              <w:right w:val="nil"/>
            </w:tcBorders>
            <w:shd w:val="clear" w:color="000000" w:fill="E7E6E6"/>
            <w:noWrap/>
            <w:vAlign w:val="bottom"/>
            <w:hideMark/>
          </w:tcPr>
          <w:p w14:paraId="5E4862A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142" w:type="pct"/>
            <w:tcBorders>
              <w:top w:val="nil"/>
              <w:left w:val="nil"/>
              <w:bottom w:val="nil"/>
              <w:right w:val="nil"/>
            </w:tcBorders>
            <w:shd w:val="clear" w:color="000000" w:fill="E7E6E6"/>
            <w:noWrap/>
            <w:vAlign w:val="bottom"/>
            <w:hideMark/>
          </w:tcPr>
          <w:p w14:paraId="19FE05B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315" w:type="pct"/>
            <w:gridSpan w:val="2"/>
            <w:tcBorders>
              <w:top w:val="nil"/>
              <w:left w:val="nil"/>
              <w:bottom w:val="nil"/>
              <w:right w:val="nil"/>
            </w:tcBorders>
            <w:shd w:val="clear" w:color="000000" w:fill="E7E6E6"/>
            <w:noWrap/>
            <w:vAlign w:val="bottom"/>
            <w:hideMark/>
          </w:tcPr>
          <w:p w14:paraId="412E6E9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263" w:type="pct"/>
            <w:tcBorders>
              <w:top w:val="nil"/>
              <w:left w:val="nil"/>
              <w:bottom w:val="nil"/>
              <w:right w:val="nil"/>
            </w:tcBorders>
            <w:shd w:val="clear" w:color="auto" w:fill="auto"/>
            <w:noWrap/>
            <w:vAlign w:val="bottom"/>
            <w:hideMark/>
          </w:tcPr>
          <w:p w14:paraId="2D563FC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1155</w:t>
            </w:r>
          </w:p>
        </w:tc>
        <w:tc>
          <w:tcPr>
            <w:tcW w:w="287" w:type="pct"/>
            <w:gridSpan w:val="2"/>
            <w:tcBorders>
              <w:top w:val="nil"/>
              <w:left w:val="nil"/>
              <w:bottom w:val="nil"/>
              <w:right w:val="nil"/>
            </w:tcBorders>
            <w:shd w:val="clear" w:color="auto" w:fill="auto"/>
            <w:noWrap/>
            <w:vAlign w:val="bottom"/>
            <w:hideMark/>
          </w:tcPr>
          <w:p w14:paraId="60DA48E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79%</w:t>
            </w:r>
          </w:p>
        </w:tc>
        <w:tc>
          <w:tcPr>
            <w:tcW w:w="181" w:type="pct"/>
            <w:tcBorders>
              <w:top w:val="nil"/>
              <w:left w:val="nil"/>
              <w:bottom w:val="nil"/>
              <w:right w:val="nil"/>
            </w:tcBorders>
            <w:shd w:val="clear" w:color="000000" w:fill="E7E6E6"/>
            <w:noWrap/>
            <w:vAlign w:val="bottom"/>
            <w:hideMark/>
          </w:tcPr>
          <w:p w14:paraId="312ABC6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246" w:type="pct"/>
            <w:gridSpan w:val="2"/>
            <w:tcBorders>
              <w:top w:val="nil"/>
              <w:left w:val="nil"/>
              <w:bottom w:val="nil"/>
              <w:right w:val="nil"/>
            </w:tcBorders>
            <w:shd w:val="clear" w:color="000000" w:fill="E7E6E6"/>
            <w:noWrap/>
            <w:vAlign w:val="bottom"/>
            <w:hideMark/>
          </w:tcPr>
          <w:p w14:paraId="4F8B6F8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140" w:type="pct"/>
            <w:tcBorders>
              <w:top w:val="nil"/>
              <w:left w:val="nil"/>
              <w:bottom w:val="nil"/>
              <w:right w:val="nil"/>
            </w:tcBorders>
            <w:shd w:val="clear" w:color="000000" w:fill="E7E6E6"/>
            <w:noWrap/>
            <w:vAlign w:val="bottom"/>
            <w:hideMark/>
          </w:tcPr>
          <w:p w14:paraId="33423DE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246" w:type="pct"/>
            <w:gridSpan w:val="2"/>
            <w:tcBorders>
              <w:top w:val="nil"/>
              <w:left w:val="nil"/>
              <w:bottom w:val="nil"/>
              <w:right w:val="nil"/>
            </w:tcBorders>
            <w:shd w:val="clear" w:color="000000" w:fill="E7E6E6"/>
            <w:noWrap/>
            <w:vAlign w:val="bottom"/>
            <w:hideMark/>
          </w:tcPr>
          <w:p w14:paraId="0F4E633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222" w:type="pct"/>
            <w:tcBorders>
              <w:top w:val="nil"/>
              <w:left w:val="nil"/>
              <w:bottom w:val="nil"/>
              <w:right w:val="nil"/>
            </w:tcBorders>
            <w:shd w:val="clear" w:color="auto" w:fill="auto"/>
            <w:noWrap/>
            <w:vAlign w:val="bottom"/>
            <w:hideMark/>
          </w:tcPr>
          <w:p w14:paraId="4D40548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171</w:t>
            </w:r>
          </w:p>
        </w:tc>
        <w:tc>
          <w:tcPr>
            <w:tcW w:w="246" w:type="pct"/>
            <w:gridSpan w:val="2"/>
            <w:tcBorders>
              <w:top w:val="nil"/>
              <w:left w:val="nil"/>
              <w:bottom w:val="nil"/>
              <w:right w:val="nil"/>
            </w:tcBorders>
            <w:shd w:val="clear" w:color="auto" w:fill="auto"/>
            <w:noWrap/>
            <w:vAlign w:val="bottom"/>
            <w:hideMark/>
          </w:tcPr>
          <w:p w14:paraId="37F8617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12%</w:t>
            </w:r>
          </w:p>
        </w:tc>
        <w:tc>
          <w:tcPr>
            <w:tcW w:w="1338" w:type="pct"/>
            <w:gridSpan w:val="2"/>
            <w:tcBorders>
              <w:top w:val="nil"/>
              <w:left w:val="nil"/>
              <w:bottom w:val="nil"/>
              <w:right w:val="nil"/>
            </w:tcBorders>
            <w:shd w:val="clear" w:color="auto" w:fill="auto"/>
            <w:noWrap/>
            <w:vAlign w:val="bottom"/>
            <w:hideMark/>
          </w:tcPr>
          <w:p w14:paraId="4EBFED91"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Bal et al. (2016)</w:t>
            </w:r>
          </w:p>
        </w:tc>
      </w:tr>
      <w:tr w:rsidR="00B56688" w:rsidRPr="00B56688" w14:paraId="3D282BAF" w14:textId="77777777" w:rsidTr="00B56688">
        <w:trPr>
          <w:trHeight w:val="260"/>
        </w:trPr>
        <w:tc>
          <w:tcPr>
            <w:tcW w:w="141" w:type="pct"/>
            <w:tcBorders>
              <w:top w:val="nil"/>
              <w:left w:val="nil"/>
              <w:bottom w:val="nil"/>
              <w:right w:val="nil"/>
            </w:tcBorders>
            <w:shd w:val="clear" w:color="auto" w:fill="auto"/>
            <w:noWrap/>
            <w:vAlign w:val="bottom"/>
            <w:hideMark/>
          </w:tcPr>
          <w:p w14:paraId="74BC76D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80" w:type="pct"/>
            <w:tcBorders>
              <w:top w:val="nil"/>
              <w:left w:val="nil"/>
              <w:bottom w:val="nil"/>
              <w:right w:val="nil"/>
            </w:tcBorders>
            <w:shd w:val="clear" w:color="auto" w:fill="auto"/>
            <w:noWrap/>
            <w:vAlign w:val="bottom"/>
            <w:hideMark/>
          </w:tcPr>
          <w:p w14:paraId="7D272C0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62D01AC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649FF3D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675B98F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4008053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2" w:type="pct"/>
            <w:tcBorders>
              <w:top w:val="nil"/>
              <w:left w:val="nil"/>
              <w:bottom w:val="nil"/>
              <w:right w:val="nil"/>
            </w:tcBorders>
            <w:shd w:val="clear" w:color="auto" w:fill="auto"/>
            <w:noWrap/>
            <w:vAlign w:val="bottom"/>
            <w:hideMark/>
          </w:tcPr>
          <w:p w14:paraId="0EBDAFE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1E121A5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37896B4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87" w:type="pct"/>
            <w:gridSpan w:val="2"/>
            <w:tcBorders>
              <w:top w:val="nil"/>
              <w:left w:val="nil"/>
              <w:bottom w:val="nil"/>
              <w:right w:val="nil"/>
            </w:tcBorders>
            <w:shd w:val="clear" w:color="auto" w:fill="auto"/>
            <w:noWrap/>
            <w:vAlign w:val="bottom"/>
            <w:hideMark/>
          </w:tcPr>
          <w:p w14:paraId="2DE4427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100%</w:t>
            </w:r>
          </w:p>
        </w:tc>
        <w:tc>
          <w:tcPr>
            <w:tcW w:w="181" w:type="pct"/>
            <w:tcBorders>
              <w:top w:val="nil"/>
              <w:left w:val="nil"/>
              <w:bottom w:val="nil"/>
              <w:right w:val="nil"/>
            </w:tcBorders>
            <w:shd w:val="clear" w:color="auto" w:fill="auto"/>
            <w:noWrap/>
            <w:vAlign w:val="bottom"/>
            <w:hideMark/>
          </w:tcPr>
          <w:p w14:paraId="28D62B9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3B5221D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0" w:type="pct"/>
            <w:tcBorders>
              <w:top w:val="nil"/>
              <w:left w:val="nil"/>
              <w:bottom w:val="nil"/>
              <w:right w:val="nil"/>
            </w:tcBorders>
            <w:shd w:val="clear" w:color="auto" w:fill="auto"/>
            <w:noWrap/>
            <w:vAlign w:val="bottom"/>
            <w:hideMark/>
          </w:tcPr>
          <w:p w14:paraId="58E8BF2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73F9D55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22" w:type="pct"/>
            <w:tcBorders>
              <w:top w:val="nil"/>
              <w:left w:val="nil"/>
              <w:bottom w:val="nil"/>
              <w:right w:val="nil"/>
            </w:tcBorders>
            <w:shd w:val="clear" w:color="auto" w:fill="auto"/>
            <w:noWrap/>
            <w:vAlign w:val="bottom"/>
            <w:hideMark/>
          </w:tcPr>
          <w:p w14:paraId="52796D5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1763EE6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338" w:type="pct"/>
            <w:gridSpan w:val="2"/>
            <w:tcBorders>
              <w:top w:val="nil"/>
              <w:left w:val="nil"/>
              <w:bottom w:val="nil"/>
              <w:right w:val="nil"/>
            </w:tcBorders>
            <w:shd w:val="clear" w:color="auto" w:fill="auto"/>
            <w:noWrap/>
            <w:vAlign w:val="bottom"/>
            <w:hideMark/>
          </w:tcPr>
          <w:p w14:paraId="6FBCE849"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Biller &amp; Johnson 2020)</w:t>
            </w:r>
          </w:p>
        </w:tc>
      </w:tr>
      <w:tr w:rsidR="00B56688" w:rsidRPr="00B56688" w14:paraId="0D104FF0" w14:textId="77777777" w:rsidTr="00B56688">
        <w:trPr>
          <w:trHeight w:val="260"/>
        </w:trPr>
        <w:tc>
          <w:tcPr>
            <w:tcW w:w="141" w:type="pct"/>
            <w:tcBorders>
              <w:top w:val="nil"/>
              <w:left w:val="nil"/>
              <w:bottom w:val="nil"/>
              <w:right w:val="nil"/>
            </w:tcBorders>
            <w:shd w:val="clear" w:color="auto" w:fill="auto"/>
            <w:noWrap/>
            <w:vAlign w:val="bottom"/>
            <w:hideMark/>
          </w:tcPr>
          <w:p w14:paraId="4920B97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80" w:type="pct"/>
            <w:tcBorders>
              <w:top w:val="nil"/>
              <w:left w:val="nil"/>
              <w:bottom w:val="nil"/>
              <w:right w:val="nil"/>
            </w:tcBorders>
            <w:shd w:val="clear" w:color="auto" w:fill="auto"/>
            <w:noWrap/>
            <w:vAlign w:val="bottom"/>
            <w:hideMark/>
          </w:tcPr>
          <w:p w14:paraId="0777920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1129C5D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0A96FAB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6%</w:t>
            </w:r>
          </w:p>
        </w:tc>
        <w:tc>
          <w:tcPr>
            <w:tcW w:w="181" w:type="pct"/>
            <w:tcBorders>
              <w:top w:val="nil"/>
              <w:left w:val="nil"/>
              <w:bottom w:val="nil"/>
              <w:right w:val="nil"/>
            </w:tcBorders>
            <w:shd w:val="clear" w:color="auto" w:fill="auto"/>
            <w:noWrap/>
            <w:vAlign w:val="bottom"/>
            <w:hideMark/>
          </w:tcPr>
          <w:p w14:paraId="5D1DB1E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573F8A5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2" w:type="pct"/>
            <w:tcBorders>
              <w:top w:val="nil"/>
              <w:left w:val="nil"/>
              <w:bottom w:val="nil"/>
              <w:right w:val="nil"/>
            </w:tcBorders>
            <w:shd w:val="clear" w:color="auto" w:fill="auto"/>
            <w:noWrap/>
            <w:vAlign w:val="bottom"/>
            <w:hideMark/>
          </w:tcPr>
          <w:p w14:paraId="3BAB231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2F6F04E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511ACA1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14</w:t>
            </w:r>
          </w:p>
        </w:tc>
        <w:tc>
          <w:tcPr>
            <w:tcW w:w="287" w:type="pct"/>
            <w:gridSpan w:val="2"/>
            <w:tcBorders>
              <w:top w:val="nil"/>
              <w:left w:val="nil"/>
              <w:bottom w:val="nil"/>
              <w:right w:val="nil"/>
            </w:tcBorders>
            <w:shd w:val="clear" w:color="auto" w:fill="auto"/>
            <w:noWrap/>
            <w:vAlign w:val="bottom"/>
            <w:hideMark/>
          </w:tcPr>
          <w:p w14:paraId="0BC7772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88%</w:t>
            </w:r>
          </w:p>
        </w:tc>
        <w:tc>
          <w:tcPr>
            <w:tcW w:w="181" w:type="pct"/>
            <w:tcBorders>
              <w:top w:val="nil"/>
              <w:left w:val="nil"/>
              <w:bottom w:val="nil"/>
              <w:right w:val="nil"/>
            </w:tcBorders>
            <w:shd w:val="clear" w:color="auto" w:fill="auto"/>
            <w:noWrap/>
            <w:vAlign w:val="bottom"/>
            <w:hideMark/>
          </w:tcPr>
          <w:p w14:paraId="7E31C4E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565B367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0" w:type="pct"/>
            <w:tcBorders>
              <w:top w:val="nil"/>
              <w:left w:val="nil"/>
              <w:bottom w:val="nil"/>
              <w:right w:val="nil"/>
            </w:tcBorders>
            <w:shd w:val="clear" w:color="auto" w:fill="auto"/>
            <w:noWrap/>
            <w:vAlign w:val="bottom"/>
            <w:hideMark/>
          </w:tcPr>
          <w:p w14:paraId="04466DB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1CEB0B0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22" w:type="pct"/>
            <w:tcBorders>
              <w:top w:val="nil"/>
              <w:left w:val="nil"/>
              <w:bottom w:val="nil"/>
              <w:right w:val="nil"/>
            </w:tcBorders>
            <w:shd w:val="clear" w:color="auto" w:fill="auto"/>
            <w:noWrap/>
            <w:vAlign w:val="bottom"/>
            <w:hideMark/>
          </w:tcPr>
          <w:p w14:paraId="0013ACD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0DDA9A0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6%</w:t>
            </w:r>
          </w:p>
        </w:tc>
        <w:tc>
          <w:tcPr>
            <w:tcW w:w="1338" w:type="pct"/>
            <w:gridSpan w:val="2"/>
            <w:tcBorders>
              <w:top w:val="nil"/>
              <w:left w:val="nil"/>
              <w:bottom w:val="nil"/>
              <w:right w:val="nil"/>
            </w:tcBorders>
            <w:shd w:val="clear" w:color="auto" w:fill="auto"/>
            <w:noWrap/>
            <w:vAlign w:val="bottom"/>
            <w:hideMark/>
          </w:tcPr>
          <w:p w14:paraId="165319C5"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Eigsti et al. (2007)</w:t>
            </w:r>
          </w:p>
        </w:tc>
      </w:tr>
      <w:tr w:rsidR="00B56688" w:rsidRPr="00B56688" w14:paraId="0647781A" w14:textId="77777777" w:rsidTr="00B56688">
        <w:trPr>
          <w:trHeight w:val="260"/>
        </w:trPr>
        <w:tc>
          <w:tcPr>
            <w:tcW w:w="141" w:type="pct"/>
            <w:tcBorders>
              <w:top w:val="nil"/>
              <w:left w:val="nil"/>
              <w:bottom w:val="nil"/>
              <w:right w:val="nil"/>
            </w:tcBorders>
            <w:shd w:val="clear" w:color="auto" w:fill="auto"/>
            <w:noWrap/>
            <w:vAlign w:val="bottom"/>
            <w:hideMark/>
          </w:tcPr>
          <w:p w14:paraId="45D7626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80" w:type="pct"/>
            <w:tcBorders>
              <w:top w:val="nil"/>
              <w:left w:val="nil"/>
              <w:bottom w:val="nil"/>
              <w:right w:val="nil"/>
            </w:tcBorders>
            <w:shd w:val="clear" w:color="auto" w:fill="auto"/>
            <w:noWrap/>
            <w:vAlign w:val="bottom"/>
            <w:hideMark/>
          </w:tcPr>
          <w:p w14:paraId="72E6E43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1ECF42E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w:t>
            </w:r>
          </w:p>
        </w:tc>
        <w:tc>
          <w:tcPr>
            <w:tcW w:w="246" w:type="pct"/>
            <w:gridSpan w:val="2"/>
            <w:tcBorders>
              <w:top w:val="nil"/>
              <w:left w:val="nil"/>
              <w:bottom w:val="nil"/>
              <w:right w:val="nil"/>
            </w:tcBorders>
            <w:shd w:val="clear" w:color="auto" w:fill="auto"/>
            <w:noWrap/>
            <w:vAlign w:val="bottom"/>
            <w:hideMark/>
          </w:tcPr>
          <w:p w14:paraId="1046F8E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w:t>
            </w:r>
          </w:p>
        </w:tc>
        <w:tc>
          <w:tcPr>
            <w:tcW w:w="181" w:type="pct"/>
            <w:tcBorders>
              <w:top w:val="nil"/>
              <w:left w:val="nil"/>
              <w:bottom w:val="nil"/>
              <w:right w:val="nil"/>
            </w:tcBorders>
            <w:shd w:val="clear" w:color="auto" w:fill="auto"/>
            <w:noWrap/>
            <w:vAlign w:val="bottom"/>
            <w:hideMark/>
          </w:tcPr>
          <w:p w14:paraId="0DC887D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246" w:type="pct"/>
            <w:gridSpan w:val="2"/>
            <w:tcBorders>
              <w:top w:val="nil"/>
              <w:left w:val="nil"/>
              <w:bottom w:val="nil"/>
              <w:right w:val="nil"/>
            </w:tcBorders>
            <w:shd w:val="clear" w:color="auto" w:fill="auto"/>
            <w:noWrap/>
            <w:vAlign w:val="bottom"/>
            <w:hideMark/>
          </w:tcPr>
          <w:p w14:paraId="61104AF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6%</w:t>
            </w:r>
          </w:p>
        </w:tc>
        <w:tc>
          <w:tcPr>
            <w:tcW w:w="142" w:type="pct"/>
            <w:tcBorders>
              <w:top w:val="nil"/>
              <w:left w:val="nil"/>
              <w:bottom w:val="nil"/>
              <w:right w:val="nil"/>
            </w:tcBorders>
            <w:shd w:val="clear" w:color="auto" w:fill="auto"/>
            <w:noWrap/>
            <w:vAlign w:val="bottom"/>
            <w:hideMark/>
          </w:tcPr>
          <w:p w14:paraId="4918322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4049E9C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6E9938D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40</w:t>
            </w:r>
          </w:p>
        </w:tc>
        <w:tc>
          <w:tcPr>
            <w:tcW w:w="287" w:type="pct"/>
            <w:gridSpan w:val="2"/>
            <w:tcBorders>
              <w:top w:val="nil"/>
              <w:left w:val="nil"/>
              <w:bottom w:val="nil"/>
              <w:right w:val="nil"/>
            </w:tcBorders>
            <w:shd w:val="clear" w:color="auto" w:fill="auto"/>
            <w:noWrap/>
            <w:vAlign w:val="bottom"/>
            <w:hideMark/>
          </w:tcPr>
          <w:p w14:paraId="0725DAD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80%</w:t>
            </w:r>
          </w:p>
        </w:tc>
        <w:tc>
          <w:tcPr>
            <w:tcW w:w="181" w:type="pct"/>
            <w:tcBorders>
              <w:top w:val="nil"/>
              <w:left w:val="nil"/>
              <w:bottom w:val="nil"/>
              <w:right w:val="nil"/>
            </w:tcBorders>
            <w:shd w:val="clear" w:color="auto" w:fill="auto"/>
            <w:noWrap/>
            <w:vAlign w:val="bottom"/>
            <w:hideMark/>
          </w:tcPr>
          <w:p w14:paraId="5248F1A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246" w:type="pct"/>
            <w:gridSpan w:val="2"/>
            <w:tcBorders>
              <w:top w:val="nil"/>
              <w:left w:val="nil"/>
              <w:bottom w:val="nil"/>
              <w:right w:val="nil"/>
            </w:tcBorders>
            <w:shd w:val="clear" w:color="auto" w:fill="auto"/>
            <w:noWrap/>
            <w:vAlign w:val="bottom"/>
            <w:hideMark/>
          </w:tcPr>
          <w:p w14:paraId="536C3A9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w:t>
            </w:r>
          </w:p>
        </w:tc>
        <w:tc>
          <w:tcPr>
            <w:tcW w:w="140" w:type="pct"/>
            <w:tcBorders>
              <w:top w:val="nil"/>
              <w:left w:val="nil"/>
              <w:bottom w:val="nil"/>
              <w:right w:val="nil"/>
            </w:tcBorders>
            <w:shd w:val="clear" w:color="auto" w:fill="auto"/>
            <w:noWrap/>
            <w:vAlign w:val="bottom"/>
            <w:hideMark/>
          </w:tcPr>
          <w:p w14:paraId="7A1063E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61D6A0B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12%</w:t>
            </w:r>
          </w:p>
        </w:tc>
        <w:tc>
          <w:tcPr>
            <w:tcW w:w="222" w:type="pct"/>
            <w:tcBorders>
              <w:top w:val="nil"/>
              <w:left w:val="nil"/>
              <w:bottom w:val="nil"/>
              <w:right w:val="nil"/>
            </w:tcBorders>
            <w:shd w:val="clear" w:color="auto" w:fill="auto"/>
            <w:noWrap/>
            <w:vAlign w:val="bottom"/>
            <w:hideMark/>
          </w:tcPr>
          <w:p w14:paraId="01DF6A4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246" w:type="pct"/>
            <w:gridSpan w:val="2"/>
            <w:tcBorders>
              <w:top w:val="nil"/>
              <w:left w:val="nil"/>
              <w:bottom w:val="nil"/>
              <w:right w:val="nil"/>
            </w:tcBorders>
            <w:shd w:val="clear" w:color="auto" w:fill="auto"/>
            <w:noWrap/>
            <w:vAlign w:val="bottom"/>
            <w:hideMark/>
          </w:tcPr>
          <w:p w14:paraId="72FC5C8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6%</w:t>
            </w:r>
          </w:p>
        </w:tc>
        <w:tc>
          <w:tcPr>
            <w:tcW w:w="1338" w:type="pct"/>
            <w:gridSpan w:val="2"/>
            <w:tcBorders>
              <w:top w:val="nil"/>
              <w:left w:val="nil"/>
              <w:bottom w:val="nil"/>
              <w:right w:val="nil"/>
            </w:tcBorders>
            <w:shd w:val="clear" w:color="auto" w:fill="auto"/>
            <w:noWrap/>
            <w:vAlign w:val="bottom"/>
            <w:hideMark/>
          </w:tcPr>
          <w:p w14:paraId="5675F511"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Haebig &amp; Sterling (2017)</w:t>
            </w:r>
          </w:p>
        </w:tc>
      </w:tr>
      <w:tr w:rsidR="00B56688" w:rsidRPr="00B56688" w14:paraId="6A8E436D" w14:textId="77777777" w:rsidTr="00B56688">
        <w:trPr>
          <w:trHeight w:val="260"/>
        </w:trPr>
        <w:tc>
          <w:tcPr>
            <w:tcW w:w="141" w:type="pct"/>
            <w:tcBorders>
              <w:top w:val="nil"/>
              <w:left w:val="nil"/>
              <w:bottom w:val="nil"/>
              <w:right w:val="nil"/>
            </w:tcBorders>
            <w:shd w:val="clear" w:color="auto" w:fill="auto"/>
            <w:noWrap/>
            <w:vAlign w:val="bottom"/>
            <w:hideMark/>
          </w:tcPr>
          <w:p w14:paraId="7ED738A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80" w:type="pct"/>
            <w:tcBorders>
              <w:top w:val="nil"/>
              <w:left w:val="nil"/>
              <w:bottom w:val="nil"/>
              <w:right w:val="nil"/>
            </w:tcBorders>
            <w:shd w:val="clear" w:color="auto" w:fill="auto"/>
            <w:noWrap/>
            <w:vAlign w:val="bottom"/>
            <w:hideMark/>
          </w:tcPr>
          <w:p w14:paraId="21A4B21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4650CCF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24D4B4F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0F2F444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235ACB0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2" w:type="pct"/>
            <w:tcBorders>
              <w:top w:val="nil"/>
              <w:left w:val="nil"/>
              <w:bottom w:val="nil"/>
              <w:right w:val="nil"/>
            </w:tcBorders>
            <w:shd w:val="clear" w:color="auto" w:fill="auto"/>
            <w:noWrap/>
            <w:vAlign w:val="bottom"/>
            <w:hideMark/>
          </w:tcPr>
          <w:p w14:paraId="6D2CB69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6764DAC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2328DE2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15</w:t>
            </w:r>
          </w:p>
        </w:tc>
        <w:tc>
          <w:tcPr>
            <w:tcW w:w="287" w:type="pct"/>
            <w:gridSpan w:val="2"/>
            <w:tcBorders>
              <w:top w:val="nil"/>
              <w:left w:val="nil"/>
              <w:bottom w:val="nil"/>
              <w:right w:val="nil"/>
            </w:tcBorders>
            <w:shd w:val="clear" w:color="auto" w:fill="auto"/>
            <w:noWrap/>
            <w:vAlign w:val="bottom"/>
            <w:hideMark/>
          </w:tcPr>
          <w:p w14:paraId="71E049C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100%</w:t>
            </w:r>
          </w:p>
        </w:tc>
        <w:tc>
          <w:tcPr>
            <w:tcW w:w="181" w:type="pct"/>
            <w:tcBorders>
              <w:top w:val="nil"/>
              <w:left w:val="nil"/>
              <w:bottom w:val="nil"/>
              <w:right w:val="nil"/>
            </w:tcBorders>
            <w:shd w:val="clear" w:color="auto" w:fill="auto"/>
            <w:noWrap/>
            <w:vAlign w:val="bottom"/>
            <w:hideMark/>
          </w:tcPr>
          <w:p w14:paraId="447C151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6740EDB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0" w:type="pct"/>
            <w:tcBorders>
              <w:top w:val="nil"/>
              <w:left w:val="nil"/>
              <w:bottom w:val="nil"/>
              <w:right w:val="nil"/>
            </w:tcBorders>
            <w:shd w:val="clear" w:color="auto" w:fill="auto"/>
            <w:noWrap/>
            <w:vAlign w:val="bottom"/>
            <w:hideMark/>
          </w:tcPr>
          <w:p w14:paraId="40EB61D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211533F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22" w:type="pct"/>
            <w:tcBorders>
              <w:top w:val="nil"/>
              <w:left w:val="nil"/>
              <w:bottom w:val="nil"/>
              <w:right w:val="nil"/>
            </w:tcBorders>
            <w:shd w:val="clear" w:color="auto" w:fill="auto"/>
            <w:noWrap/>
            <w:vAlign w:val="bottom"/>
            <w:hideMark/>
          </w:tcPr>
          <w:p w14:paraId="45779A2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18614A3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338" w:type="pct"/>
            <w:gridSpan w:val="2"/>
            <w:tcBorders>
              <w:top w:val="nil"/>
              <w:left w:val="nil"/>
              <w:bottom w:val="nil"/>
              <w:right w:val="nil"/>
            </w:tcBorders>
            <w:shd w:val="clear" w:color="auto" w:fill="auto"/>
            <w:noWrap/>
            <w:vAlign w:val="bottom"/>
            <w:hideMark/>
          </w:tcPr>
          <w:p w14:paraId="676A0D54"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Huang &amp; Finestack (2020)</w:t>
            </w:r>
          </w:p>
        </w:tc>
      </w:tr>
      <w:tr w:rsidR="00B56688" w:rsidRPr="00B56688" w14:paraId="1D69BCBD" w14:textId="77777777" w:rsidTr="00B56688">
        <w:trPr>
          <w:trHeight w:val="260"/>
        </w:trPr>
        <w:tc>
          <w:tcPr>
            <w:tcW w:w="141" w:type="pct"/>
            <w:tcBorders>
              <w:top w:val="nil"/>
              <w:left w:val="nil"/>
              <w:bottom w:val="nil"/>
              <w:right w:val="nil"/>
            </w:tcBorders>
            <w:shd w:val="clear" w:color="auto" w:fill="auto"/>
            <w:noWrap/>
            <w:vAlign w:val="bottom"/>
            <w:hideMark/>
          </w:tcPr>
          <w:p w14:paraId="6EBDACB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380" w:type="pct"/>
            <w:tcBorders>
              <w:top w:val="nil"/>
              <w:left w:val="nil"/>
              <w:bottom w:val="nil"/>
              <w:right w:val="nil"/>
            </w:tcBorders>
            <w:shd w:val="clear" w:color="auto" w:fill="auto"/>
            <w:noWrap/>
            <w:vAlign w:val="bottom"/>
            <w:hideMark/>
          </w:tcPr>
          <w:p w14:paraId="7D98264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w:t>
            </w:r>
          </w:p>
        </w:tc>
        <w:tc>
          <w:tcPr>
            <w:tcW w:w="181" w:type="pct"/>
            <w:tcBorders>
              <w:top w:val="nil"/>
              <w:left w:val="nil"/>
              <w:bottom w:val="nil"/>
              <w:right w:val="nil"/>
            </w:tcBorders>
            <w:shd w:val="clear" w:color="auto" w:fill="auto"/>
            <w:noWrap/>
            <w:vAlign w:val="bottom"/>
            <w:hideMark/>
          </w:tcPr>
          <w:p w14:paraId="5101290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246" w:type="pct"/>
            <w:gridSpan w:val="2"/>
            <w:tcBorders>
              <w:top w:val="nil"/>
              <w:left w:val="nil"/>
              <w:bottom w:val="nil"/>
              <w:right w:val="nil"/>
            </w:tcBorders>
            <w:shd w:val="clear" w:color="auto" w:fill="auto"/>
            <w:noWrap/>
            <w:vAlign w:val="bottom"/>
            <w:hideMark/>
          </w:tcPr>
          <w:p w14:paraId="348F535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w:t>
            </w:r>
          </w:p>
        </w:tc>
        <w:tc>
          <w:tcPr>
            <w:tcW w:w="181" w:type="pct"/>
            <w:tcBorders>
              <w:top w:val="nil"/>
              <w:left w:val="nil"/>
              <w:bottom w:val="nil"/>
              <w:right w:val="nil"/>
            </w:tcBorders>
            <w:shd w:val="clear" w:color="auto" w:fill="auto"/>
            <w:noWrap/>
            <w:vAlign w:val="bottom"/>
            <w:hideMark/>
          </w:tcPr>
          <w:p w14:paraId="797D4F7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575DF1F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142" w:type="pct"/>
            <w:tcBorders>
              <w:top w:val="nil"/>
              <w:left w:val="nil"/>
              <w:bottom w:val="nil"/>
              <w:right w:val="nil"/>
            </w:tcBorders>
            <w:shd w:val="clear" w:color="auto" w:fill="auto"/>
            <w:noWrap/>
            <w:vAlign w:val="bottom"/>
            <w:hideMark/>
          </w:tcPr>
          <w:p w14:paraId="4A18DFC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374CEA7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1CCAF08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58</w:t>
            </w:r>
          </w:p>
        </w:tc>
        <w:tc>
          <w:tcPr>
            <w:tcW w:w="287" w:type="pct"/>
            <w:gridSpan w:val="2"/>
            <w:tcBorders>
              <w:top w:val="nil"/>
              <w:left w:val="nil"/>
              <w:bottom w:val="nil"/>
              <w:right w:val="nil"/>
            </w:tcBorders>
            <w:shd w:val="clear" w:color="auto" w:fill="auto"/>
            <w:noWrap/>
            <w:vAlign w:val="bottom"/>
            <w:hideMark/>
          </w:tcPr>
          <w:p w14:paraId="30795D9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87%</w:t>
            </w:r>
          </w:p>
        </w:tc>
        <w:tc>
          <w:tcPr>
            <w:tcW w:w="181" w:type="pct"/>
            <w:tcBorders>
              <w:top w:val="nil"/>
              <w:left w:val="nil"/>
              <w:bottom w:val="nil"/>
              <w:right w:val="nil"/>
            </w:tcBorders>
            <w:shd w:val="clear" w:color="auto" w:fill="auto"/>
            <w:noWrap/>
            <w:vAlign w:val="bottom"/>
            <w:hideMark/>
          </w:tcPr>
          <w:p w14:paraId="3B07D30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363697D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0" w:type="pct"/>
            <w:tcBorders>
              <w:top w:val="nil"/>
              <w:left w:val="nil"/>
              <w:bottom w:val="nil"/>
              <w:right w:val="nil"/>
            </w:tcBorders>
            <w:shd w:val="clear" w:color="auto" w:fill="auto"/>
            <w:noWrap/>
            <w:vAlign w:val="bottom"/>
            <w:hideMark/>
          </w:tcPr>
          <w:p w14:paraId="676C021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246" w:type="pct"/>
            <w:gridSpan w:val="2"/>
            <w:tcBorders>
              <w:top w:val="nil"/>
              <w:left w:val="nil"/>
              <w:bottom w:val="nil"/>
              <w:right w:val="nil"/>
            </w:tcBorders>
            <w:shd w:val="clear" w:color="auto" w:fill="auto"/>
            <w:noWrap/>
            <w:vAlign w:val="bottom"/>
            <w:hideMark/>
          </w:tcPr>
          <w:p w14:paraId="35986D1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w:t>
            </w:r>
          </w:p>
        </w:tc>
        <w:tc>
          <w:tcPr>
            <w:tcW w:w="222" w:type="pct"/>
            <w:tcBorders>
              <w:top w:val="nil"/>
              <w:left w:val="nil"/>
              <w:bottom w:val="nil"/>
              <w:right w:val="nil"/>
            </w:tcBorders>
            <w:shd w:val="clear" w:color="000000" w:fill="E7E6E6"/>
            <w:noWrap/>
            <w:vAlign w:val="bottom"/>
            <w:hideMark/>
          </w:tcPr>
          <w:p w14:paraId="339EE60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246" w:type="pct"/>
            <w:gridSpan w:val="2"/>
            <w:tcBorders>
              <w:top w:val="nil"/>
              <w:left w:val="nil"/>
              <w:bottom w:val="nil"/>
              <w:right w:val="nil"/>
            </w:tcBorders>
            <w:shd w:val="clear" w:color="000000" w:fill="E7E6E6"/>
            <w:noWrap/>
            <w:vAlign w:val="bottom"/>
            <w:hideMark/>
          </w:tcPr>
          <w:p w14:paraId="71EC458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1338" w:type="pct"/>
            <w:gridSpan w:val="2"/>
            <w:tcBorders>
              <w:top w:val="nil"/>
              <w:left w:val="nil"/>
              <w:bottom w:val="nil"/>
              <w:right w:val="nil"/>
            </w:tcBorders>
            <w:shd w:val="clear" w:color="auto" w:fill="auto"/>
            <w:noWrap/>
            <w:vAlign w:val="bottom"/>
            <w:hideMark/>
          </w:tcPr>
          <w:p w14:paraId="10335C54"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Klusek et al. (2014)</w:t>
            </w:r>
          </w:p>
        </w:tc>
      </w:tr>
      <w:tr w:rsidR="00B56688" w:rsidRPr="00B56688" w14:paraId="49E98F93" w14:textId="77777777" w:rsidTr="00B56688">
        <w:trPr>
          <w:trHeight w:val="260"/>
        </w:trPr>
        <w:tc>
          <w:tcPr>
            <w:tcW w:w="141" w:type="pct"/>
            <w:tcBorders>
              <w:top w:val="nil"/>
              <w:left w:val="nil"/>
              <w:bottom w:val="nil"/>
              <w:right w:val="nil"/>
            </w:tcBorders>
            <w:shd w:val="clear" w:color="auto" w:fill="auto"/>
            <w:noWrap/>
            <w:vAlign w:val="bottom"/>
            <w:hideMark/>
          </w:tcPr>
          <w:p w14:paraId="7C7A574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80" w:type="pct"/>
            <w:tcBorders>
              <w:top w:val="nil"/>
              <w:left w:val="nil"/>
              <w:bottom w:val="nil"/>
              <w:right w:val="nil"/>
            </w:tcBorders>
            <w:shd w:val="clear" w:color="auto" w:fill="auto"/>
            <w:noWrap/>
            <w:vAlign w:val="bottom"/>
            <w:hideMark/>
          </w:tcPr>
          <w:p w14:paraId="7C74317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109A6BE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246" w:type="pct"/>
            <w:gridSpan w:val="2"/>
            <w:tcBorders>
              <w:top w:val="nil"/>
              <w:left w:val="nil"/>
              <w:bottom w:val="nil"/>
              <w:right w:val="nil"/>
            </w:tcBorders>
            <w:shd w:val="clear" w:color="auto" w:fill="auto"/>
            <w:noWrap/>
            <w:vAlign w:val="bottom"/>
            <w:hideMark/>
          </w:tcPr>
          <w:p w14:paraId="0F29AC3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181" w:type="pct"/>
            <w:tcBorders>
              <w:top w:val="nil"/>
              <w:left w:val="nil"/>
              <w:bottom w:val="nil"/>
              <w:right w:val="nil"/>
            </w:tcBorders>
            <w:shd w:val="clear" w:color="auto" w:fill="auto"/>
            <w:noWrap/>
            <w:vAlign w:val="bottom"/>
            <w:hideMark/>
          </w:tcPr>
          <w:p w14:paraId="4CC0C87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1AD8760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2" w:type="pct"/>
            <w:tcBorders>
              <w:top w:val="nil"/>
              <w:left w:val="nil"/>
              <w:bottom w:val="nil"/>
              <w:right w:val="nil"/>
            </w:tcBorders>
            <w:shd w:val="clear" w:color="auto" w:fill="auto"/>
            <w:noWrap/>
            <w:vAlign w:val="bottom"/>
            <w:hideMark/>
          </w:tcPr>
          <w:p w14:paraId="7D356FE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315" w:type="pct"/>
            <w:gridSpan w:val="2"/>
            <w:tcBorders>
              <w:top w:val="nil"/>
              <w:left w:val="nil"/>
              <w:bottom w:val="nil"/>
              <w:right w:val="nil"/>
            </w:tcBorders>
            <w:shd w:val="clear" w:color="auto" w:fill="auto"/>
            <w:noWrap/>
            <w:vAlign w:val="bottom"/>
            <w:hideMark/>
          </w:tcPr>
          <w:p w14:paraId="06126D4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263" w:type="pct"/>
            <w:tcBorders>
              <w:top w:val="nil"/>
              <w:left w:val="nil"/>
              <w:bottom w:val="nil"/>
              <w:right w:val="nil"/>
            </w:tcBorders>
            <w:shd w:val="clear" w:color="auto" w:fill="auto"/>
            <w:noWrap/>
            <w:vAlign w:val="bottom"/>
            <w:hideMark/>
          </w:tcPr>
          <w:p w14:paraId="0BF5E7A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90</w:t>
            </w:r>
          </w:p>
        </w:tc>
        <w:tc>
          <w:tcPr>
            <w:tcW w:w="287" w:type="pct"/>
            <w:gridSpan w:val="2"/>
            <w:tcBorders>
              <w:top w:val="nil"/>
              <w:left w:val="nil"/>
              <w:bottom w:val="nil"/>
              <w:right w:val="nil"/>
            </w:tcBorders>
            <w:shd w:val="clear" w:color="auto" w:fill="auto"/>
            <w:noWrap/>
            <w:vAlign w:val="bottom"/>
            <w:hideMark/>
          </w:tcPr>
          <w:p w14:paraId="73C3A18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86%</w:t>
            </w:r>
          </w:p>
        </w:tc>
        <w:tc>
          <w:tcPr>
            <w:tcW w:w="181" w:type="pct"/>
            <w:tcBorders>
              <w:top w:val="nil"/>
              <w:left w:val="nil"/>
              <w:bottom w:val="nil"/>
              <w:right w:val="nil"/>
            </w:tcBorders>
            <w:shd w:val="clear" w:color="auto" w:fill="auto"/>
            <w:noWrap/>
            <w:vAlign w:val="bottom"/>
            <w:hideMark/>
          </w:tcPr>
          <w:p w14:paraId="33182E3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w:t>
            </w:r>
          </w:p>
        </w:tc>
        <w:tc>
          <w:tcPr>
            <w:tcW w:w="246" w:type="pct"/>
            <w:gridSpan w:val="2"/>
            <w:tcBorders>
              <w:top w:val="nil"/>
              <w:left w:val="nil"/>
              <w:bottom w:val="nil"/>
              <w:right w:val="nil"/>
            </w:tcBorders>
            <w:shd w:val="clear" w:color="auto" w:fill="auto"/>
            <w:noWrap/>
            <w:vAlign w:val="bottom"/>
            <w:hideMark/>
          </w:tcPr>
          <w:p w14:paraId="41B248D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w:t>
            </w:r>
          </w:p>
        </w:tc>
        <w:tc>
          <w:tcPr>
            <w:tcW w:w="140" w:type="pct"/>
            <w:tcBorders>
              <w:top w:val="nil"/>
              <w:left w:val="nil"/>
              <w:bottom w:val="nil"/>
              <w:right w:val="nil"/>
            </w:tcBorders>
            <w:shd w:val="clear" w:color="auto" w:fill="auto"/>
            <w:noWrap/>
            <w:vAlign w:val="bottom"/>
            <w:hideMark/>
          </w:tcPr>
          <w:p w14:paraId="6FA1AE9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28B4613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22" w:type="pct"/>
            <w:tcBorders>
              <w:top w:val="nil"/>
              <w:left w:val="nil"/>
              <w:bottom w:val="nil"/>
              <w:right w:val="nil"/>
            </w:tcBorders>
            <w:shd w:val="clear" w:color="auto" w:fill="auto"/>
            <w:noWrap/>
            <w:vAlign w:val="bottom"/>
            <w:hideMark/>
          </w:tcPr>
          <w:p w14:paraId="2B02BDB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246" w:type="pct"/>
            <w:gridSpan w:val="2"/>
            <w:tcBorders>
              <w:top w:val="nil"/>
              <w:left w:val="nil"/>
              <w:bottom w:val="nil"/>
              <w:right w:val="nil"/>
            </w:tcBorders>
            <w:shd w:val="clear" w:color="auto" w:fill="auto"/>
            <w:noWrap/>
            <w:vAlign w:val="bottom"/>
            <w:hideMark/>
          </w:tcPr>
          <w:p w14:paraId="233518E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1338" w:type="pct"/>
            <w:gridSpan w:val="2"/>
            <w:tcBorders>
              <w:top w:val="nil"/>
              <w:left w:val="nil"/>
              <w:bottom w:val="nil"/>
              <w:right w:val="nil"/>
            </w:tcBorders>
            <w:shd w:val="clear" w:color="auto" w:fill="auto"/>
            <w:noWrap/>
            <w:vAlign w:val="bottom"/>
            <w:hideMark/>
          </w:tcPr>
          <w:p w14:paraId="470946AF"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Ellawadi &amp; Ellis Weismer (2015)</w:t>
            </w:r>
          </w:p>
        </w:tc>
      </w:tr>
      <w:tr w:rsidR="00B56688" w:rsidRPr="00B56688" w14:paraId="0AA5B666" w14:textId="77777777" w:rsidTr="00B56688">
        <w:trPr>
          <w:trHeight w:val="260"/>
        </w:trPr>
        <w:tc>
          <w:tcPr>
            <w:tcW w:w="141" w:type="pct"/>
            <w:tcBorders>
              <w:top w:val="nil"/>
              <w:left w:val="nil"/>
              <w:bottom w:val="nil"/>
              <w:right w:val="nil"/>
            </w:tcBorders>
            <w:shd w:val="clear" w:color="auto" w:fill="auto"/>
            <w:noWrap/>
            <w:vAlign w:val="bottom"/>
            <w:hideMark/>
          </w:tcPr>
          <w:p w14:paraId="2035D8B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7</w:t>
            </w:r>
          </w:p>
        </w:tc>
        <w:tc>
          <w:tcPr>
            <w:tcW w:w="380" w:type="pct"/>
            <w:tcBorders>
              <w:top w:val="nil"/>
              <w:left w:val="nil"/>
              <w:bottom w:val="nil"/>
              <w:right w:val="nil"/>
            </w:tcBorders>
            <w:shd w:val="clear" w:color="auto" w:fill="auto"/>
            <w:noWrap/>
            <w:vAlign w:val="bottom"/>
            <w:hideMark/>
          </w:tcPr>
          <w:p w14:paraId="4CC8986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w:t>
            </w:r>
          </w:p>
        </w:tc>
        <w:tc>
          <w:tcPr>
            <w:tcW w:w="181" w:type="pct"/>
            <w:tcBorders>
              <w:top w:val="nil"/>
              <w:left w:val="nil"/>
              <w:bottom w:val="nil"/>
              <w:right w:val="nil"/>
            </w:tcBorders>
            <w:shd w:val="clear" w:color="auto" w:fill="auto"/>
            <w:noWrap/>
            <w:vAlign w:val="bottom"/>
            <w:hideMark/>
          </w:tcPr>
          <w:p w14:paraId="468CC8F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54</w:t>
            </w:r>
          </w:p>
        </w:tc>
        <w:tc>
          <w:tcPr>
            <w:tcW w:w="246" w:type="pct"/>
            <w:gridSpan w:val="2"/>
            <w:tcBorders>
              <w:top w:val="nil"/>
              <w:left w:val="nil"/>
              <w:bottom w:val="nil"/>
              <w:right w:val="nil"/>
            </w:tcBorders>
            <w:shd w:val="clear" w:color="auto" w:fill="auto"/>
            <w:noWrap/>
            <w:vAlign w:val="bottom"/>
            <w:hideMark/>
          </w:tcPr>
          <w:p w14:paraId="22079CF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21%</w:t>
            </w:r>
          </w:p>
        </w:tc>
        <w:tc>
          <w:tcPr>
            <w:tcW w:w="181" w:type="pct"/>
            <w:tcBorders>
              <w:top w:val="nil"/>
              <w:left w:val="nil"/>
              <w:bottom w:val="nil"/>
              <w:right w:val="nil"/>
            </w:tcBorders>
            <w:shd w:val="clear" w:color="auto" w:fill="auto"/>
            <w:noWrap/>
            <w:vAlign w:val="bottom"/>
            <w:hideMark/>
          </w:tcPr>
          <w:p w14:paraId="191E017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246" w:type="pct"/>
            <w:gridSpan w:val="2"/>
            <w:tcBorders>
              <w:top w:val="nil"/>
              <w:left w:val="nil"/>
              <w:bottom w:val="nil"/>
              <w:right w:val="nil"/>
            </w:tcBorders>
            <w:shd w:val="clear" w:color="auto" w:fill="auto"/>
            <w:noWrap/>
            <w:vAlign w:val="bottom"/>
            <w:hideMark/>
          </w:tcPr>
          <w:p w14:paraId="2F2AA8C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142" w:type="pct"/>
            <w:tcBorders>
              <w:top w:val="nil"/>
              <w:left w:val="nil"/>
              <w:bottom w:val="nil"/>
              <w:right w:val="nil"/>
            </w:tcBorders>
            <w:shd w:val="clear" w:color="auto" w:fill="auto"/>
            <w:noWrap/>
            <w:vAlign w:val="bottom"/>
            <w:hideMark/>
          </w:tcPr>
          <w:p w14:paraId="129A2B9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3F863FE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1C4D6B4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190</w:t>
            </w:r>
          </w:p>
        </w:tc>
        <w:tc>
          <w:tcPr>
            <w:tcW w:w="287" w:type="pct"/>
            <w:gridSpan w:val="2"/>
            <w:tcBorders>
              <w:top w:val="nil"/>
              <w:left w:val="nil"/>
              <w:bottom w:val="nil"/>
              <w:right w:val="nil"/>
            </w:tcBorders>
            <w:shd w:val="clear" w:color="auto" w:fill="auto"/>
            <w:noWrap/>
            <w:vAlign w:val="bottom"/>
            <w:hideMark/>
          </w:tcPr>
          <w:p w14:paraId="6119B37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74%</w:t>
            </w:r>
          </w:p>
        </w:tc>
        <w:tc>
          <w:tcPr>
            <w:tcW w:w="181" w:type="pct"/>
            <w:tcBorders>
              <w:top w:val="nil"/>
              <w:left w:val="nil"/>
              <w:bottom w:val="nil"/>
              <w:right w:val="nil"/>
            </w:tcBorders>
            <w:shd w:val="clear" w:color="auto" w:fill="auto"/>
            <w:noWrap/>
            <w:vAlign w:val="bottom"/>
            <w:hideMark/>
          </w:tcPr>
          <w:p w14:paraId="32070EA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53C9495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0" w:type="pct"/>
            <w:tcBorders>
              <w:top w:val="nil"/>
              <w:left w:val="nil"/>
              <w:bottom w:val="nil"/>
              <w:right w:val="nil"/>
            </w:tcBorders>
            <w:shd w:val="clear" w:color="auto" w:fill="auto"/>
            <w:noWrap/>
            <w:vAlign w:val="bottom"/>
            <w:hideMark/>
          </w:tcPr>
          <w:p w14:paraId="6C0FB5C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w:t>
            </w:r>
          </w:p>
        </w:tc>
        <w:tc>
          <w:tcPr>
            <w:tcW w:w="246" w:type="pct"/>
            <w:gridSpan w:val="2"/>
            <w:tcBorders>
              <w:top w:val="nil"/>
              <w:left w:val="nil"/>
              <w:bottom w:val="nil"/>
              <w:right w:val="nil"/>
            </w:tcBorders>
            <w:shd w:val="clear" w:color="auto" w:fill="auto"/>
            <w:noWrap/>
            <w:vAlign w:val="bottom"/>
            <w:hideMark/>
          </w:tcPr>
          <w:p w14:paraId="31BD299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222" w:type="pct"/>
            <w:tcBorders>
              <w:top w:val="nil"/>
              <w:left w:val="nil"/>
              <w:bottom w:val="nil"/>
              <w:right w:val="nil"/>
            </w:tcBorders>
            <w:shd w:val="clear" w:color="auto" w:fill="auto"/>
            <w:noWrap/>
            <w:vAlign w:val="bottom"/>
            <w:hideMark/>
          </w:tcPr>
          <w:p w14:paraId="40F297B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35B266D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338" w:type="pct"/>
            <w:gridSpan w:val="2"/>
            <w:tcBorders>
              <w:top w:val="nil"/>
              <w:left w:val="nil"/>
              <w:bottom w:val="nil"/>
              <w:right w:val="nil"/>
            </w:tcBorders>
            <w:shd w:val="clear" w:color="auto" w:fill="auto"/>
            <w:noWrap/>
            <w:vAlign w:val="bottom"/>
            <w:hideMark/>
          </w:tcPr>
          <w:p w14:paraId="181F7A5B"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Ellis Weismer et al. (2010)</w:t>
            </w:r>
          </w:p>
        </w:tc>
      </w:tr>
      <w:tr w:rsidR="00B56688" w:rsidRPr="00B56688" w14:paraId="56080398" w14:textId="77777777" w:rsidTr="00B56688">
        <w:trPr>
          <w:trHeight w:val="260"/>
        </w:trPr>
        <w:tc>
          <w:tcPr>
            <w:tcW w:w="141" w:type="pct"/>
            <w:tcBorders>
              <w:top w:val="nil"/>
              <w:left w:val="nil"/>
              <w:bottom w:val="nil"/>
              <w:right w:val="nil"/>
            </w:tcBorders>
            <w:shd w:val="clear" w:color="auto" w:fill="auto"/>
            <w:noWrap/>
            <w:vAlign w:val="bottom"/>
            <w:hideMark/>
          </w:tcPr>
          <w:p w14:paraId="1253298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80" w:type="pct"/>
            <w:tcBorders>
              <w:top w:val="nil"/>
              <w:left w:val="nil"/>
              <w:bottom w:val="nil"/>
              <w:right w:val="nil"/>
            </w:tcBorders>
            <w:shd w:val="clear" w:color="auto" w:fill="auto"/>
            <w:noWrap/>
            <w:vAlign w:val="bottom"/>
            <w:hideMark/>
          </w:tcPr>
          <w:p w14:paraId="1B6C8B3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81" w:type="pct"/>
            <w:tcBorders>
              <w:top w:val="nil"/>
              <w:left w:val="nil"/>
              <w:bottom w:val="nil"/>
              <w:right w:val="nil"/>
            </w:tcBorders>
            <w:shd w:val="clear" w:color="auto" w:fill="auto"/>
            <w:noWrap/>
            <w:vAlign w:val="bottom"/>
            <w:hideMark/>
          </w:tcPr>
          <w:p w14:paraId="2E2583C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38</w:t>
            </w:r>
          </w:p>
        </w:tc>
        <w:tc>
          <w:tcPr>
            <w:tcW w:w="246" w:type="pct"/>
            <w:gridSpan w:val="2"/>
            <w:tcBorders>
              <w:top w:val="nil"/>
              <w:left w:val="nil"/>
              <w:bottom w:val="nil"/>
              <w:right w:val="nil"/>
            </w:tcBorders>
            <w:shd w:val="clear" w:color="auto" w:fill="auto"/>
            <w:noWrap/>
            <w:vAlign w:val="bottom"/>
            <w:hideMark/>
          </w:tcPr>
          <w:p w14:paraId="703DA8C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41%</w:t>
            </w:r>
          </w:p>
        </w:tc>
        <w:tc>
          <w:tcPr>
            <w:tcW w:w="181" w:type="pct"/>
            <w:tcBorders>
              <w:top w:val="nil"/>
              <w:left w:val="nil"/>
              <w:bottom w:val="nil"/>
              <w:right w:val="nil"/>
            </w:tcBorders>
            <w:shd w:val="clear" w:color="auto" w:fill="auto"/>
            <w:noWrap/>
            <w:vAlign w:val="bottom"/>
            <w:hideMark/>
          </w:tcPr>
          <w:p w14:paraId="0881F18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246" w:type="pct"/>
            <w:gridSpan w:val="2"/>
            <w:tcBorders>
              <w:top w:val="nil"/>
              <w:left w:val="nil"/>
              <w:bottom w:val="nil"/>
              <w:right w:val="nil"/>
            </w:tcBorders>
            <w:shd w:val="clear" w:color="auto" w:fill="auto"/>
            <w:noWrap/>
            <w:vAlign w:val="bottom"/>
            <w:hideMark/>
          </w:tcPr>
          <w:p w14:paraId="7C1BAA4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142" w:type="pct"/>
            <w:tcBorders>
              <w:top w:val="nil"/>
              <w:left w:val="nil"/>
              <w:bottom w:val="nil"/>
              <w:right w:val="nil"/>
            </w:tcBorders>
            <w:shd w:val="clear" w:color="auto" w:fill="auto"/>
            <w:noWrap/>
            <w:vAlign w:val="bottom"/>
            <w:hideMark/>
          </w:tcPr>
          <w:p w14:paraId="4C601E4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1E76D53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4FDECB7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53</w:t>
            </w:r>
          </w:p>
        </w:tc>
        <w:tc>
          <w:tcPr>
            <w:tcW w:w="287" w:type="pct"/>
            <w:gridSpan w:val="2"/>
            <w:tcBorders>
              <w:top w:val="nil"/>
              <w:left w:val="nil"/>
              <w:bottom w:val="nil"/>
              <w:right w:val="nil"/>
            </w:tcBorders>
            <w:shd w:val="clear" w:color="auto" w:fill="auto"/>
            <w:noWrap/>
            <w:vAlign w:val="bottom"/>
            <w:hideMark/>
          </w:tcPr>
          <w:p w14:paraId="3130735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57%</w:t>
            </w:r>
          </w:p>
        </w:tc>
        <w:tc>
          <w:tcPr>
            <w:tcW w:w="181" w:type="pct"/>
            <w:tcBorders>
              <w:top w:val="nil"/>
              <w:left w:val="nil"/>
              <w:bottom w:val="nil"/>
              <w:right w:val="nil"/>
            </w:tcBorders>
            <w:shd w:val="clear" w:color="auto" w:fill="auto"/>
            <w:noWrap/>
            <w:vAlign w:val="bottom"/>
            <w:hideMark/>
          </w:tcPr>
          <w:p w14:paraId="2AC4B12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56CD375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0" w:type="pct"/>
            <w:tcBorders>
              <w:top w:val="nil"/>
              <w:left w:val="nil"/>
              <w:bottom w:val="nil"/>
              <w:right w:val="nil"/>
            </w:tcBorders>
            <w:shd w:val="clear" w:color="auto" w:fill="auto"/>
            <w:noWrap/>
            <w:vAlign w:val="bottom"/>
            <w:hideMark/>
          </w:tcPr>
          <w:p w14:paraId="19D1602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10624D3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22" w:type="pct"/>
            <w:tcBorders>
              <w:top w:val="nil"/>
              <w:left w:val="nil"/>
              <w:bottom w:val="nil"/>
              <w:right w:val="nil"/>
            </w:tcBorders>
            <w:shd w:val="clear" w:color="auto" w:fill="auto"/>
            <w:noWrap/>
            <w:vAlign w:val="bottom"/>
            <w:hideMark/>
          </w:tcPr>
          <w:p w14:paraId="26395F1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0202F2D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338" w:type="pct"/>
            <w:gridSpan w:val="2"/>
            <w:tcBorders>
              <w:top w:val="nil"/>
              <w:left w:val="nil"/>
              <w:bottom w:val="nil"/>
              <w:right w:val="nil"/>
            </w:tcBorders>
            <w:shd w:val="clear" w:color="auto" w:fill="auto"/>
            <w:noWrap/>
            <w:vAlign w:val="bottom"/>
            <w:hideMark/>
          </w:tcPr>
          <w:p w14:paraId="462A0B80"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Luyster et al. (2007)</w:t>
            </w:r>
          </w:p>
        </w:tc>
      </w:tr>
      <w:tr w:rsidR="00B56688" w:rsidRPr="00B56688" w14:paraId="68CD5157" w14:textId="77777777" w:rsidTr="00B56688">
        <w:trPr>
          <w:trHeight w:val="260"/>
        </w:trPr>
        <w:tc>
          <w:tcPr>
            <w:tcW w:w="141" w:type="pct"/>
            <w:tcBorders>
              <w:top w:val="nil"/>
              <w:left w:val="nil"/>
              <w:bottom w:val="nil"/>
              <w:right w:val="nil"/>
            </w:tcBorders>
            <w:shd w:val="clear" w:color="auto" w:fill="auto"/>
            <w:noWrap/>
            <w:vAlign w:val="bottom"/>
            <w:hideMark/>
          </w:tcPr>
          <w:p w14:paraId="0C7EC3C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w:t>
            </w:r>
          </w:p>
        </w:tc>
        <w:tc>
          <w:tcPr>
            <w:tcW w:w="380" w:type="pct"/>
            <w:tcBorders>
              <w:top w:val="nil"/>
              <w:left w:val="nil"/>
              <w:bottom w:val="nil"/>
              <w:right w:val="nil"/>
            </w:tcBorders>
            <w:shd w:val="clear" w:color="auto" w:fill="auto"/>
            <w:noWrap/>
            <w:vAlign w:val="bottom"/>
            <w:hideMark/>
          </w:tcPr>
          <w:p w14:paraId="762854F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181" w:type="pct"/>
            <w:tcBorders>
              <w:top w:val="nil"/>
              <w:left w:val="nil"/>
              <w:bottom w:val="nil"/>
              <w:right w:val="nil"/>
            </w:tcBorders>
            <w:shd w:val="clear" w:color="auto" w:fill="auto"/>
            <w:noWrap/>
            <w:vAlign w:val="bottom"/>
            <w:hideMark/>
          </w:tcPr>
          <w:p w14:paraId="044FAA9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246" w:type="pct"/>
            <w:gridSpan w:val="2"/>
            <w:tcBorders>
              <w:top w:val="nil"/>
              <w:left w:val="nil"/>
              <w:bottom w:val="nil"/>
              <w:right w:val="nil"/>
            </w:tcBorders>
            <w:shd w:val="clear" w:color="auto" w:fill="auto"/>
            <w:noWrap/>
            <w:vAlign w:val="bottom"/>
            <w:hideMark/>
          </w:tcPr>
          <w:p w14:paraId="7F506B9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181" w:type="pct"/>
            <w:tcBorders>
              <w:top w:val="nil"/>
              <w:left w:val="nil"/>
              <w:bottom w:val="nil"/>
              <w:right w:val="nil"/>
            </w:tcBorders>
            <w:shd w:val="clear" w:color="auto" w:fill="auto"/>
            <w:noWrap/>
            <w:vAlign w:val="bottom"/>
            <w:hideMark/>
          </w:tcPr>
          <w:p w14:paraId="4B3CB96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15</w:t>
            </w:r>
          </w:p>
        </w:tc>
        <w:tc>
          <w:tcPr>
            <w:tcW w:w="246" w:type="pct"/>
            <w:gridSpan w:val="2"/>
            <w:tcBorders>
              <w:top w:val="nil"/>
              <w:left w:val="nil"/>
              <w:bottom w:val="nil"/>
              <w:right w:val="nil"/>
            </w:tcBorders>
            <w:shd w:val="clear" w:color="auto" w:fill="auto"/>
            <w:noWrap/>
            <w:vAlign w:val="bottom"/>
            <w:hideMark/>
          </w:tcPr>
          <w:p w14:paraId="73A08E2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9%</w:t>
            </w:r>
          </w:p>
        </w:tc>
        <w:tc>
          <w:tcPr>
            <w:tcW w:w="142" w:type="pct"/>
            <w:tcBorders>
              <w:top w:val="nil"/>
              <w:left w:val="nil"/>
              <w:bottom w:val="nil"/>
              <w:right w:val="nil"/>
            </w:tcBorders>
            <w:shd w:val="clear" w:color="auto" w:fill="auto"/>
            <w:noWrap/>
            <w:vAlign w:val="bottom"/>
            <w:hideMark/>
          </w:tcPr>
          <w:p w14:paraId="717B9A0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315" w:type="pct"/>
            <w:gridSpan w:val="2"/>
            <w:tcBorders>
              <w:top w:val="nil"/>
              <w:left w:val="nil"/>
              <w:bottom w:val="nil"/>
              <w:right w:val="nil"/>
            </w:tcBorders>
            <w:shd w:val="clear" w:color="auto" w:fill="auto"/>
            <w:noWrap/>
            <w:vAlign w:val="bottom"/>
            <w:hideMark/>
          </w:tcPr>
          <w:p w14:paraId="2DD01F2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63" w:type="pct"/>
            <w:tcBorders>
              <w:top w:val="nil"/>
              <w:left w:val="nil"/>
              <w:bottom w:val="nil"/>
              <w:right w:val="nil"/>
            </w:tcBorders>
            <w:shd w:val="clear" w:color="auto" w:fill="auto"/>
            <w:noWrap/>
            <w:vAlign w:val="bottom"/>
            <w:hideMark/>
          </w:tcPr>
          <w:p w14:paraId="2448390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142</w:t>
            </w:r>
          </w:p>
        </w:tc>
        <w:tc>
          <w:tcPr>
            <w:tcW w:w="287" w:type="pct"/>
            <w:gridSpan w:val="2"/>
            <w:tcBorders>
              <w:top w:val="nil"/>
              <w:left w:val="nil"/>
              <w:bottom w:val="nil"/>
              <w:right w:val="nil"/>
            </w:tcBorders>
            <w:shd w:val="clear" w:color="auto" w:fill="auto"/>
            <w:noWrap/>
            <w:vAlign w:val="bottom"/>
            <w:hideMark/>
          </w:tcPr>
          <w:p w14:paraId="01C129F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87%</w:t>
            </w:r>
          </w:p>
        </w:tc>
        <w:tc>
          <w:tcPr>
            <w:tcW w:w="181" w:type="pct"/>
            <w:tcBorders>
              <w:top w:val="nil"/>
              <w:left w:val="nil"/>
              <w:bottom w:val="nil"/>
              <w:right w:val="nil"/>
            </w:tcBorders>
            <w:shd w:val="clear" w:color="auto" w:fill="auto"/>
            <w:noWrap/>
            <w:vAlign w:val="bottom"/>
            <w:hideMark/>
          </w:tcPr>
          <w:p w14:paraId="6A73FA2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7E510CC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0" w:type="pct"/>
            <w:tcBorders>
              <w:top w:val="nil"/>
              <w:left w:val="nil"/>
              <w:bottom w:val="nil"/>
              <w:right w:val="nil"/>
            </w:tcBorders>
            <w:shd w:val="clear" w:color="auto" w:fill="auto"/>
            <w:noWrap/>
            <w:vAlign w:val="bottom"/>
            <w:hideMark/>
          </w:tcPr>
          <w:p w14:paraId="06631D6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236B075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22" w:type="pct"/>
            <w:tcBorders>
              <w:top w:val="nil"/>
              <w:left w:val="nil"/>
              <w:bottom w:val="nil"/>
              <w:right w:val="nil"/>
            </w:tcBorders>
            <w:shd w:val="clear" w:color="auto" w:fill="auto"/>
            <w:noWrap/>
            <w:vAlign w:val="bottom"/>
            <w:hideMark/>
          </w:tcPr>
          <w:p w14:paraId="5C05DDD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681D3CC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338" w:type="pct"/>
            <w:gridSpan w:val="2"/>
            <w:tcBorders>
              <w:top w:val="nil"/>
              <w:left w:val="nil"/>
              <w:bottom w:val="nil"/>
              <w:right w:val="nil"/>
            </w:tcBorders>
            <w:shd w:val="clear" w:color="auto" w:fill="auto"/>
            <w:noWrap/>
            <w:vAlign w:val="bottom"/>
            <w:hideMark/>
          </w:tcPr>
          <w:p w14:paraId="44B181CC"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Luyster et al. (2008)</w:t>
            </w:r>
          </w:p>
        </w:tc>
      </w:tr>
      <w:tr w:rsidR="00B56688" w:rsidRPr="00B56688" w14:paraId="2B4D370C" w14:textId="77777777" w:rsidTr="00B56688">
        <w:trPr>
          <w:trHeight w:val="260"/>
        </w:trPr>
        <w:tc>
          <w:tcPr>
            <w:tcW w:w="141" w:type="pct"/>
            <w:tcBorders>
              <w:top w:val="nil"/>
              <w:left w:val="nil"/>
              <w:bottom w:val="nil"/>
              <w:right w:val="nil"/>
            </w:tcBorders>
            <w:shd w:val="clear" w:color="auto" w:fill="auto"/>
            <w:noWrap/>
            <w:vAlign w:val="bottom"/>
            <w:hideMark/>
          </w:tcPr>
          <w:p w14:paraId="27B6557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380" w:type="pct"/>
            <w:tcBorders>
              <w:top w:val="nil"/>
              <w:left w:val="nil"/>
              <w:bottom w:val="nil"/>
              <w:right w:val="nil"/>
            </w:tcBorders>
            <w:shd w:val="clear" w:color="auto" w:fill="auto"/>
            <w:noWrap/>
            <w:vAlign w:val="bottom"/>
            <w:hideMark/>
          </w:tcPr>
          <w:p w14:paraId="18F98E6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181" w:type="pct"/>
            <w:tcBorders>
              <w:top w:val="nil"/>
              <w:left w:val="nil"/>
              <w:bottom w:val="nil"/>
              <w:right w:val="nil"/>
            </w:tcBorders>
            <w:shd w:val="clear" w:color="auto" w:fill="auto"/>
            <w:noWrap/>
            <w:vAlign w:val="bottom"/>
            <w:hideMark/>
          </w:tcPr>
          <w:p w14:paraId="38D9970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13</w:t>
            </w:r>
          </w:p>
        </w:tc>
        <w:tc>
          <w:tcPr>
            <w:tcW w:w="246" w:type="pct"/>
            <w:gridSpan w:val="2"/>
            <w:tcBorders>
              <w:top w:val="nil"/>
              <w:left w:val="nil"/>
              <w:bottom w:val="nil"/>
              <w:right w:val="nil"/>
            </w:tcBorders>
            <w:shd w:val="clear" w:color="auto" w:fill="auto"/>
            <w:noWrap/>
            <w:vAlign w:val="bottom"/>
            <w:hideMark/>
          </w:tcPr>
          <w:p w14:paraId="0E84DB6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13%</w:t>
            </w:r>
          </w:p>
        </w:tc>
        <w:tc>
          <w:tcPr>
            <w:tcW w:w="181" w:type="pct"/>
            <w:tcBorders>
              <w:top w:val="nil"/>
              <w:left w:val="nil"/>
              <w:bottom w:val="nil"/>
              <w:right w:val="nil"/>
            </w:tcBorders>
            <w:shd w:val="clear" w:color="auto" w:fill="auto"/>
            <w:noWrap/>
            <w:vAlign w:val="bottom"/>
            <w:hideMark/>
          </w:tcPr>
          <w:p w14:paraId="19E2377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7</w:t>
            </w:r>
          </w:p>
        </w:tc>
        <w:tc>
          <w:tcPr>
            <w:tcW w:w="246" w:type="pct"/>
            <w:gridSpan w:val="2"/>
            <w:tcBorders>
              <w:top w:val="nil"/>
              <w:left w:val="nil"/>
              <w:bottom w:val="nil"/>
              <w:right w:val="nil"/>
            </w:tcBorders>
            <w:shd w:val="clear" w:color="auto" w:fill="auto"/>
            <w:noWrap/>
            <w:vAlign w:val="bottom"/>
            <w:hideMark/>
          </w:tcPr>
          <w:p w14:paraId="1677A94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7%</w:t>
            </w:r>
          </w:p>
        </w:tc>
        <w:tc>
          <w:tcPr>
            <w:tcW w:w="142" w:type="pct"/>
            <w:tcBorders>
              <w:top w:val="nil"/>
              <w:left w:val="nil"/>
              <w:bottom w:val="nil"/>
              <w:right w:val="nil"/>
            </w:tcBorders>
            <w:shd w:val="clear" w:color="auto" w:fill="auto"/>
            <w:noWrap/>
            <w:vAlign w:val="bottom"/>
            <w:hideMark/>
          </w:tcPr>
          <w:p w14:paraId="07A5CDB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7ED2369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6185B09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74</w:t>
            </w:r>
          </w:p>
        </w:tc>
        <w:tc>
          <w:tcPr>
            <w:tcW w:w="287" w:type="pct"/>
            <w:gridSpan w:val="2"/>
            <w:tcBorders>
              <w:top w:val="nil"/>
              <w:left w:val="nil"/>
              <w:bottom w:val="nil"/>
              <w:right w:val="nil"/>
            </w:tcBorders>
            <w:shd w:val="clear" w:color="auto" w:fill="auto"/>
            <w:noWrap/>
            <w:vAlign w:val="bottom"/>
            <w:hideMark/>
          </w:tcPr>
          <w:p w14:paraId="60D3D057"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71%</w:t>
            </w:r>
          </w:p>
        </w:tc>
        <w:tc>
          <w:tcPr>
            <w:tcW w:w="181" w:type="pct"/>
            <w:tcBorders>
              <w:top w:val="nil"/>
              <w:left w:val="nil"/>
              <w:bottom w:val="nil"/>
              <w:right w:val="nil"/>
            </w:tcBorders>
            <w:shd w:val="clear" w:color="auto" w:fill="auto"/>
            <w:noWrap/>
            <w:vAlign w:val="bottom"/>
            <w:hideMark/>
          </w:tcPr>
          <w:p w14:paraId="38EC8AB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6593A5D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0" w:type="pct"/>
            <w:tcBorders>
              <w:top w:val="nil"/>
              <w:left w:val="nil"/>
              <w:bottom w:val="nil"/>
              <w:right w:val="nil"/>
            </w:tcBorders>
            <w:shd w:val="clear" w:color="auto" w:fill="auto"/>
            <w:noWrap/>
            <w:vAlign w:val="bottom"/>
            <w:hideMark/>
          </w:tcPr>
          <w:p w14:paraId="6C4EFF6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w:t>
            </w:r>
          </w:p>
        </w:tc>
        <w:tc>
          <w:tcPr>
            <w:tcW w:w="246" w:type="pct"/>
            <w:gridSpan w:val="2"/>
            <w:tcBorders>
              <w:top w:val="nil"/>
              <w:left w:val="nil"/>
              <w:bottom w:val="nil"/>
              <w:right w:val="nil"/>
            </w:tcBorders>
            <w:shd w:val="clear" w:color="auto" w:fill="auto"/>
            <w:noWrap/>
            <w:vAlign w:val="bottom"/>
            <w:hideMark/>
          </w:tcPr>
          <w:p w14:paraId="2DA7FBE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w:t>
            </w:r>
          </w:p>
        </w:tc>
        <w:tc>
          <w:tcPr>
            <w:tcW w:w="222" w:type="pct"/>
            <w:tcBorders>
              <w:top w:val="nil"/>
              <w:left w:val="nil"/>
              <w:bottom w:val="nil"/>
              <w:right w:val="nil"/>
            </w:tcBorders>
            <w:shd w:val="clear" w:color="auto" w:fill="auto"/>
            <w:noWrap/>
            <w:vAlign w:val="bottom"/>
            <w:hideMark/>
          </w:tcPr>
          <w:p w14:paraId="2077109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w:t>
            </w:r>
          </w:p>
        </w:tc>
        <w:tc>
          <w:tcPr>
            <w:tcW w:w="246" w:type="pct"/>
            <w:gridSpan w:val="2"/>
            <w:tcBorders>
              <w:top w:val="nil"/>
              <w:left w:val="nil"/>
              <w:bottom w:val="nil"/>
              <w:right w:val="nil"/>
            </w:tcBorders>
            <w:shd w:val="clear" w:color="auto" w:fill="auto"/>
            <w:noWrap/>
            <w:vAlign w:val="bottom"/>
            <w:hideMark/>
          </w:tcPr>
          <w:p w14:paraId="12C4B55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w:t>
            </w:r>
          </w:p>
        </w:tc>
        <w:tc>
          <w:tcPr>
            <w:tcW w:w="1338" w:type="pct"/>
            <w:gridSpan w:val="2"/>
            <w:tcBorders>
              <w:top w:val="nil"/>
              <w:left w:val="nil"/>
              <w:bottom w:val="nil"/>
              <w:right w:val="nil"/>
            </w:tcBorders>
            <w:shd w:val="clear" w:color="auto" w:fill="auto"/>
            <w:noWrap/>
            <w:vAlign w:val="bottom"/>
            <w:hideMark/>
          </w:tcPr>
          <w:p w14:paraId="1F6CC84F"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Nevill et al. (2019)</w:t>
            </w:r>
          </w:p>
        </w:tc>
      </w:tr>
      <w:tr w:rsidR="00B56688" w:rsidRPr="00B56688" w14:paraId="0C299815" w14:textId="77777777" w:rsidTr="00B56688">
        <w:trPr>
          <w:trHeight w:val="260"/>
        </w:trPr>
        <w:tc>
          <w:tcPr>
            <w:tcW w:w="141" w:type="pct"/>
            <w:tcBorders>
              <w:top w:val="nil"/>
              <w:left w:val="nil"/>
              <w:bottom w:val="nil"/>
              <w:right w:val="nil"/>
            </w:tcBorders>
            <w:shd w:val="clear" w:color="auto" w:fill="auto"/>
            <w:noWrap/>
            <w:vAlign w:val="bottom"/>
            <w:hideMark/>
          </w:tcPr>
          <w:p w14:paraId="4C45919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380" w:type="pct"/>
            <w:tcBorders>
              <w:top w:val="nil"/>
              <w:left w:val="nil"/>
              <w:bottom w:val="nil"/>
              <w:right w:val="nil"/>
            </w:tcBorders>
            <w:shd w:val="clear" w:color="auto" w:fill="auto"/>
            <w:noWrap/>
            <w:vAlign w:val="bottom"/>
            <w:hideMark/>
          </w:tcPr>
          <w:p w14:paraId="23F00E1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181" w:type="pct"/>
            <w:tcBorders>
              <w:top w:val="nil"/>
              <w:left w:val="nil"/>
              <w:bottom w:val="nil"/>
              <w:right w:val="nil"/>
            </w:tcBorders>
            <w:shd w:val="clear" w:color="auto" w:fill="auto"/>
            <w:noWrap/>
            <w:vAlign w:val="bottom"/>
            <w:hideMark/>
          </w:tcPr>
          <w:p w14:paraId="4B59BBA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30</w:t>
            </w:r>
          </w:p>
        </w:tc>
        <w:tc>
          <w:tcPr>
            <w:tcW w:w="246" w:type="pct"/>
            <w:gridSpan w:val="2"/>
            <w:tcBorders>
              <w:top w:val="nil"/>
              <w:left w:val="nil"/>
              <w:bottom w:val="nil"/>
              <w:right w:val="nil"/>
            </w:tcBorders>
            <w:shd w:val="clear" w:color="auto" w:fill="auto"/>
            <w:noWrap/>
            <w:vAlign w:val="bottom"/>
            <w:hideMark/>
          </w:tcPr>
          <w:p w14:paraId="4C810F6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51%</w:t>
            </w:r>
          </w:p>
        </w:tc>
        <w:tc>
          <w:tcPr>
            <w:tcW w:w="181" w:type="pct"/>
            <w:tcBorders>
              <w:top w:val="nil"/>
              <w:left w:val="nil"/>
              <w:bottom w:val="nil"/>
              <w:right w:val="nil"/>
            </w:tcBorders>
            <w:shd w:val="clear" w:color="auto" w:fill="auto"/>
            <w:noWrap/>
            <w:vAlign w:val="bottom"/>
            <w:hideMark/>
          </w:tcPr>
          <w:p w14:paraId="0E39719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4CC748A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2" w:type="pct"/>
            <w:tcBorders>
              <w:top w:val="nil"/>
              <w:left w:val="nil"/>
              <w:bottom w:val="nil"/>
              <w:right w:val="nil"/>
            </w:tcBorders>
            <w:shd w:val="clear" w:color="auto" w:fill="auto"/>
            <w:noWrap/>
            <w:vAlign w:val="bottom"/>
            <w:hideMark/>
          </w:tcPr>
          <w:p w14:paraId="143C161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6028A39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1218778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27</w:t>
            </w:r>
          </w:p>
        </w:tc>
        <w:tc>
          <w:tcPr>
            <w:tcW w:w="287" w:type="pct"/>
            <w:gridSpan w:val="2"/>
            <w:tcBorders>
              <w:top w:val="nil"/>
              <w:left w:val="nil"/>
              <w:bottom w:val="nil"/>
              <w:right w:val="nil"/>
            </w:tcBorders>
            <w:shd w:val="clear" w:color="auto" w:fill="auto"/>
            <w:noWrap/>
            <w:vAlign w:val="bottom"/>
            <w:hideMark/>
          </w:tcPr>
          <w:p w14:paraId="4FAF2FB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46%</w:t>
            </w:r>
          </w:p>
        </w:tc>
        <w:tc>
          <w:tcPr>
            <w:tcW w:w="181" w:type="pct"/>
            <w:tcBorders>
              <w:top w:val="nil"/>
              <w:left w:val="nil"/>
              <w:bottom w:val="nil"/>
              <w:right w:val="nil"/>
            </w:tcBorders>
            <w:shd w:val="clear" w:color="auto" w:fill="auto"/>
            <w:noWrap/>
            <w:vAlign w:val="bottom"/>
            <w:hideMark/>
          </w:tcPr>
          <w:p w14:paraId="0EC5807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49DEA6B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0" w:type="pct"/>
            <w:tcBorders>
              <w:top w:val="nil"/>
              <w:left w:val="nil"/>
              <w:bottom w:val="nil"/>
              <w:right w:val="nil"/>
            </w:tcBorders>
            <w:shd w:val="clear" w:color="auto" w:fill="auto"/>
            <w:noWrap/>
            <w:vAlign w:val="bottom"/>
            <w:hideMark/>
          </w:tcPr>
          <w:p w14:paraId="7DAF28A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43B85F6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22" w:type="pct"/>
            <w:tcBorders>
              <w:top w:val="nil"/>
              <w:left w:val="nil"/>
              <w:bottom w:val="nil"/>
              <w:right w:val="nil"/>
            </w:tcBorders>
            <w:shd w:val="clear" w:color="auto" w:fill="auto"/>
            <w:noWrap/>
            <w:vAlign w:val="bottom"/>
            <w:hideMark/>
          </w:tcPr>
          <w:p w14:paraId="13308AE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484E426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1338" w:type="pct"/>
            <w:gridSpan w:val="2"/>
            <w:tcBorders>
              <w:top w:val="nil"/>
              <w:left w:val="nil"/>
              <w:bottom w:val="nil"/>
              <w:right w:val="nil"/>
            </w:tcBorders>
            <w:shd w:val="clear" w:color="auto" w:fill="auto"/>
            <w:noWrap/>
            <w:vAlign w:val="bottom"/>
            <w:hideMark/>
          </w:tcPr>
          <w:p w14:paraId="7D56F608"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Thurm et al. (2007)</w:t>
            </w:r>
          </w:p>
        </w:tc>
      </w:tr>
      <w:tr w:rsidR="00B56688" w:rsidRPr="00B56688" w14:paraId="0215E10C" w14:textId="77777777" w:rsidTr="00B56688">
        <w:trPr>
          <w:trHeight w:val="260"/>
        </w:trPr>
        <w:tc>
          <w:tcPr>
            <w:tcW w:w="141" w:type="pct"/>
            <w:tcBorders>
              <w:top w:val="nil"/>
              <w:left w:val="nil"/>
              <w:bottom w:val="nil"/>
              <w:right w:val="nil"/>
            </w:tcBorders>
            <w:shd w:val="clear" w:color="auto" w:fill="auto"/>
            <w:noWrap/>
            <w:vAlign w:val="bottom"/>
            <w:hideMark/>
          </w:tcPr>
          <w:p w14:paraId="32BC04D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80" w:type="pct"/>
            <w:tcBorders>
              <w:top w:val="nil"/>
              <w:left w:val="nil"/>
              <w:bottom w:val="nil"/>
              <w:right w:val="nil"/>
            </w:tcBorders>
            <w:shd w:val="clear" w:color="000000" w:fill="E7E6E6"/>
            <w:noWrap/>
            <w:vAlign w:val="bottom"/>
            <w:hideMark/>
          </w:tcPr>
          <w:p w14:paraId="72119FB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181" w:type="pct"/>
            <w:tcBorders>
              <w:top w:val="nil"/>
              <w:left w:val="nil"/>
              <w:bottom w:val="nil"/>
              <w:right w:val="nil"/>
            </w:tcBorders>
            <w:shd w:val="clear" w:color="000000" w:fill="E7E6E6"/>
            <w:noWrap/>
            <w:vAlign w:val="bottom"/>
            <w:hideMark/>
          </w:tcPr>
          <w:p w14:paraId="29281402"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246" w:type="pct"/>
            <w:gridSpan w:val="2"/>
            <w:tcBorders>
              <w:top w:val="nil"/>
              <w:left w:val="nil"/>
              <w:bottom w:val="nil"/>
              <w:right w:val="nil"/>
            </w:tcBorders>
            <w:shd w:val="clear" w:color="000000" w:fill="E7E6E6"/>
            <w:noWrap/>
            <w:vAlign w:val="bottom"/>
            <w:hideMark/>
          </w:tcPr>
          <w:p w14:paraId="019447F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181" w:type="pct"/>
            <w:tcBorders>
              <w:top w:val="nil"/>
              <w:left w:val="nil"/>
              <w:bottom w:val="nil"/>
              <w:right w:val="nil"/>
            </w:tcBorders>
            <w:shd w:val="clear" w:color="000000" w:fill="E7E6E6"/>
            <w:noWrap/>
            <w:vAlign w:val="bottom"/>
            <w:hideMark/>
          </w:tcPr>
          <w:p w14:paraId="30990A1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246" w:type="pct"/>
            <w:gridSpan w:val="2"/>
            <w:tcBorders>
              <w:top w:val="nil"/>
              <w:left w:val="nil"/>
              <w:bottom w:val="nil"/>
              <w:right w:val="nil"/>
            </w:tcBorders>
            <w:shd w:val="clear" w:color="000000" w:fill="E7E6E6"/>
            <w:noWrap/>
            <w:vAlign w:val="bottom"/>
            <w:hideMark/>
          </w:tcPr>
          <w:p w14:paraId="7A252C3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142" w:type="pct"/>
            <w:tcBorders>
              <w:top w:val="nil"/>
              <w:left w:val="nil"/>
              <w:bottom w:val="nil"/>
              <w:right w:val="nil"/>
            </w:tcBorders>
            <w:shd w:val="clear" w:color="000000" w:fill="E7E6E6"/>
            <w:noWrap/>
            <w:vAlign w:val="bottom"/>
            <w:hideMark/>
          </w:tcPr>
          <w:p w14:paraId="7F1EE64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315" w:type="pct"/>
            <w:gridSpan w:val="2"/>
            <w:tcBorders>
              <w:top w:val="nil"/>
              <w:left w:val="nil"/>
              <w:bottom w:val="nil"/>
              <w:right w:val="nil"/>
            </w:tcBorders>
            <w:shd w:val="clear" w:color="000000" w:fill="E7E6E6"/>
            <w:noWrap/>
            <w:vAlign w:val="bottom"/>
            <w:hideMark/>
          </w:tcPr>
          <w:p w14:paraId="5F7435C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263" w:type="pct"/>
            <w:tcBorders>
              <w:top w:val="nil"/>
              <w:left w:val="nil"/>
              <w:bottom w:val="nil"/>
              <w:right w:val="nil"/>
            </w:tcBorders>
            <w:shd w:val="clear" w:color="auto" w:fill="auto"/>
            <w:noWrap/>
            <w:vAlign w:val="bottom"/>
            <w:hideMark/>
          </w:tcPr>
          <w:p w14:paraId="084048B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53</w:t>
            </w:r>
          </w:p>
        </w:tc>
        <w:tc>
          <w:tcPr>
            <w:tcW w:w="287" w:type="pct"/>
            <w:gridSpan w:val="2"/>
            <w:tcBorders>
              <w:top w:val="nil"/>
              <w:left w:val="nil"/>
              <w:bottom w:val="nil"/>
              <w:right w:val="nil"/>
            </w:tcBorders>
            <w:shd w:val="clear" w:color="auto" w:fill="auto"/>
            <w:noWrap/>
            <w:vAlign w:val="bottom"/>
            <w:hideMark/>
          </w:tcPr>
          <w:p w14:paraId="2531A4FD"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76%</w:t>
            </w:r>
          </w:p>
        </w:tc>
        <w:tc>
          <w:tcPr>
            <w:tcW w:w="181" w:type="pct"/>
            <w:tcBorders>
              <w:top w:val="nil"/>
              <w:left w:val="nil"/>
              <w:bottom w:val="nil"/>
              <w:right w:val="nil"/>
            </w:tcBorders>
            <w:shd w:val="clear" w:color="000000" w:fill="E7E6E6"/>
            <w:noWrap/>
            <w:vAlign w:val="bottom"/>
            <w:hideMark/>
          </w:tcPr>
          <w:p w14:paraId="7C934CF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246" w:type="pct"/>
            <w:gridSpan w:val="2"/>
            <w:tcBorders>
              <w:top w:val="nil"/>
              <w:left w:val="nil"/>
              <w:bottom w:val="nil"/>
              <w:right w:val="nil"/>
            </w:tcBorders>
            <w:shd w:val="clear" w:color="000000" w:fill="E7E6E6"/>
            <w:noWrap/>
            <w:vAlign w:val="bottom"/>
            <w:hideMark/>
          </w:tcPr>
          <w:p w14:paraId="39FC450C"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140" w:type="pct"/>
            <w:tcBorders>
              <w:top w:val="nil"/>
              <w:left w:val="nil"/>
              <w:bottom w:val="nil"/>
              <w:right w:val="nil"/>
            </w:tcBorders>
            <w:shd w:val="clear" w:color="000000" w:fill="E7E6E6"/>
            <w:noWrap/>
            <w:vAlign w:val="bottom"/>
            <w:hideMark/>
          </w:tcPr>
          <w:p w14:paraId="1DF1A28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246" w:type="pct"/>
            <w:gridSpan w:val="2"/>
            <w:tcBorders>
              <w:top w:val="nil"/>
              <w:left w:val="nil"/>
              <w:bottom w:val="nil"/>
              <w:right w:val="nil"/>
            </w:tcBorders>
            <w:shd w:val="clear" w:color="000000" w:fill="E7E6E6"/>
            <w:noWrap/>
            <w:vAlign w:val="bottom"/>
            <w:hideMark/>
          </w:tcPr>
          <w:p w14:paraId="59F494E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 </w:t>
            </w:r>
          </w:p>
        </w:tc>
        <w:tc>
          <w:tcPr>
            <w:tcW w:w="222" w:type="pct"/>
            <w:tcBorders>
              <w:top w:val="nil"/>
              <w:left w:val="nil"/>
              <w:bottom w:val="nil"/>
              <w:right w:val="nil"/>
            </w:tcBorders>
            <w:shd w:val="clear" w:color="auto" w:fill="auto"/>
            <w:noWrap/>
            <w:vAlign w:val="bottom"/>
            <w:hideMark/>
          </w:tcPr>
          <w:p w14:paraId="1700E11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w:t>
            </w:r>
          </w:p>
        </w:tc>
        <w:tc>
          <w:tcPr>
            <w:tcW w:w="246" w:type="pct"/>
            <w:gridSpan w:val="2"/>
            <w:tcBorders>
              <w:top w:val="nil"/>
              <w:left w:val="nil"/>
              <w:bottom w:val="nil"/>
              <w:right w:val="nil"/>
            </w:tcBorders>
            <w:shd w:val="clear" w:color="auto" w:fill="auto"/>
            <w:noWrap/>
            <w:vAlign w:val="bottom"/>
            <w:hideMark/>
          </w:tcPr>
          <w:p w14:paraId="17C82FA3"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6%</w:t>
            </w:r>
          </w:p>
        </w:tc>
        <w:tc>
          <w:tcPr>
            <w:tcW w:w="1338" w:type="pct"/>
            <w:gridSpan w:val="2"/>
            <w:tcBorders>
              <w:top w:val="nil"/>
              <w:left w:val="nil"/>
              <w:bottom w:val="nil"/>
              <w:right w:val="nil"/>
            </w:tcBorders>
            <w:shd w:val="clear" w:color="auto" w:fill="auto"/>
            <w:noWrap/>
            <w:vAlign w:val="bottom"/>
            <w:hideMark/>
          </w:tcPr>
          <w:p w14:paraId="75D8327D"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Thurm et al. (2015)</w:t>
            </w:r>
          </w:p>
        </w:tc>
      </w:tr>
      <w:tr w:rsidR="00B56688" w:rsidRPr="00B56688" w14:paraId="570FAB78" w14:textId="77777777" w:rsidTr="00B56688">
        <w:trPr>
          <w:trHeight w:val="260"/>
        </w:trPr>
        <w:tc>
          <w:tcPr>
            <w:tcW w:w="141" w:type="pct"/>
            <w:tcBorders>
              <w:top w:val="nil"/>
              <w:left w:val="nil"/>
              <w:bottom w:val="nil"/>
              <w:right w:val="nil"/>
            </w:tcBorders>
            <w:shd w:val="clear" w:color="auto" w:fill="auto"/>
            <w:noWrap/>
            <w:vAlign w:val="bottom"/>
            <w:hideMark/>
          </w:tcPr>
          <w:p w14:paraId="1C6731C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380" w:type="pct"/>
            <w:tcBorders>
              <w:top w:val="nil"/>
              <w:left w:val="nil"/>
              <w:bottom w:val="nil"/>
              <w:right w:val="nil"/>
            </w:tcBorders>
            <w:shd w:val="clear" w:color="auto" w:fill="auto"/>
            <w:noWrap/>
            <w:vAlign w:val="bottom"/>
            <w:hideMark/>
          </w:tcPr>
          <w:p w14:paraId="3DEC428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w:t>
            </w:r>
          </w:p>
        </w:tc>
        <w:tc>
          <w:tcPr>
            <w:tcW w:w="181" w:type="pct"/>
            <w:tcBorders>
              <w:top w:val="nil"/>
              <w:left w:val="nil"/>
              <w:bottom w:val="nil"/>
              <w:right w:val="nil"/>
            </w:tcBorders>
            <w:shd w:val="clear" w:color="auto" w:fill="auto"/>
            <w:noWrap/>
            <w:vAlign w:val="bottom"/>
            <w:hideMark/>
          </w:tcPr>
          <w:p w14:paraId="2BC22E15"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w:t>
            </w:r>
          </w:p>
        </w:tc>
        <w:tc>
          <w:tcPr>
            <w:tcW w:w="246" w:type="pct"/>
            <w:gridSpan w:val="2"/>
            <w:tcBorders>
              <w:top w:val="nil"/>
              <w:left w:val="nil"/>
              <w:bottom w:val="nil"/>
              <w:right w:val="nil"/>
            </w:tcBorders>
            <w:shd w:val="clear" w:color="auto" w:fill="auto"/>
            <w:noWrap/>
            <w:vAlign w:val="bottom"/>
            <w:hideMark/>
          </w:tcPr>
          <w:p w14:paraId="536EB61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w:t>
            </w:r>
          </w:p>
        </w:tc>
        <w:tc>
          <w:tcPr>
            <w:tcW w:w="181" w:type="pct"/>
            <w:tcBorders>
              <w:top w:val="nil"/>
              <w:left w:val="nil"/>
              <w:bottom w:val="nil"/>
              <w:right w:val="nil"/>
            </w:tcBorders>
            <w:shd w:val="clear" w:color="auto" w:fill="auto"/>
            <w:noWrap/>
            <w:vAlign w:val="bottom"/>
            <w:hideMark/>
          </w:tcPr>
          <w:p w14:paraId="594B8D3B"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5</w:t>
            </w:r>
          </w:p>
        </w:tc>
        <w:tc>
          <w:tcPr>
            <w:tcW w:w="246" w:type="pct"/>
            <w:gridSpan w:val="2"/>
            <w:tcBorders>
              <w:top w:val="nil"/>
              <w:left w:val="nil"/>
              <w:bottom w:val="nil"/>
              <w:right w:val="nil"/>
            </w:tcBorders>
            <w:shd w:val="clear" w:color="auto" w:fill="auto"/>
            <w:noWrap/>
            <w:vAlign w:val="bottom"/>
            <w:hideMark/>
          </w:tcPr>
          <w:p w14:paraId="4275EF38"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20%</w:t>
            </w:r>
          </w:p>
        </w:tc>
        <w:tc>
          <w:tcPr>
            <w:tcW w:w="142" w:type="pct"/>
            <w:tcBorders>
              <w:top w:val="nil"/>
              <w:left w:val="nil"/>
              <w:bottom w:val="nil"/>
              <w:right w:val="nil"/>
            </w:tcBorders>
            <w:shd w:val="clear" w:color="auto" w:fill="auto"/>
            <w:noWrap/>
            <w:vAlign w:val="bottom"/>
            <w:hideMark/>
          </w:tcPr>
          <w:p w14:paraId="41670891"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315" w:type="pct"/>
            <w:gridSpan w:val="2"/>
            <w:tcBorders>
              <w:top w:val="nil"/>
              <w:left w:val="nil"/>
              <w:bottom w:val="nil"/>
              <w:right w:val="nil"/>
            </w:tcBorders>
            <w:shd w:val="clear" w:color="auto" w:fill="auto"/>
            <w:noWrap/>
            <w:vAlign w:val="bottom"/>
            <w:hideMark/>
          </w:tcPr>
          <w:p w14:paraId="28C0789F"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63" w:type="pct"/>
            <w:tcBorders>
              <w:top w:val="nil"/>
              <w:left w:val="nil"/>
              <w:bottom w:val="nil"/>
              <w:right w:val="nil"/>
            </w:tcBorders>
            <w:shd w:val="clear" w:color="auto" w:fill="auto"/>
            <w:noWrap/>
            <w:vAlign w:val="bottom"/>
            <w:hideMark/>
          </w:tcPr>
          <w:p w14:paraId="7AE02C59"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16</w:t>
            </w:r>
          </w:p>
        </w:tc>
        <w:tc>
          <w:tcPr>
            <w:tcW w:w="287" w:type="pct"/>
            <w:gridSpan w:val="2"/>
            <w:tcBorders>
              <w:top w:val="nil"/>
              <w:left w:val="nil"/>
              <w:bottom w:val="nil"/>
              <w:right w:val="nil"/>
            </w:tcBorders>
            <w:shd w:val="clear" w:color="auto" w:fill="auto"/>
            <w:noWrap/>
            <w:vAlign w:val="bottom"/>
            <w:hideMark/>
          </w:tcPr>
          <w:p w14:paraId="05124234"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64%</w:t>
            </w:r>
          </w:p>
        </w:tc>
        <w:tc>
          <w:tcPr>
            <w:tcW w:w="181" w:type="pct"/>
            <w:tcBorders>
              <w:top w:val="nil"/>
              <w:left w:val="nil"/>
              <w:bottom w:val="nil"/>
              <w:right w:val="nil"/>
            </w:tcBorders>
            <w:shd w:val="clear" w:color="auto" w:fill="auto"/>
            <w:noWrap/>
            <w:vAlign w:val="bottom"/>
            <w:hideMark/>
          </w:tcPr>
          <w:p w14:paraId="28827FB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246" w:type="pct"/>
            <w:gridSpan w:val="2"/>
            <w:tcBorders>
              <w:top w:val="nil"/>
              <w:left w:val="nil"/>
              <w:bottom w:val="nil"/>
              <w:right w:val="nil"/>
            </w:tcBorders>
            <w:shd w:val="clear" w:color="auto" w:fill="auto"/>
            <w:noWrap/>
            <w:vAlign w:val="bottom"/>
            <w:hideMark/>
          </w:tcPr>
          <w:p w14:paraId="316A332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0%</w:t>
            </w:r>
          </w:p>
        </w:tc>
        <w:tc>
          <w:tcPr>
            <w:tcW w:w="140" w:type="pct"/>
            <w:tcBorders>
              <w:top w:val="nil"/>
              <w:left w:val="nil"/>
              <w:bottom w:val="nil"/>
              <w:right w:val="nil"/>
            </w:tcBorders>
            <w:shd w:val="clear" w:color="auto" w:fill="auto"/>
            <w:noWrap/>
            <w:vAlign w:val="bottom"/>
            <w:hideMark/>
          </w:tcPr>
          <w:p w14:paraId="5238FDF6"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1</w:t>
            </w:r>
          </w:p>
        </w:tc>
        <w:tc>
          <w:tcPr>
            <w:tcW w:w="246" w:type="pct"/>
            <w:gridSpan w:val="2"/>
            <w:tcBorders>
              <w:top w:val="nil"/>
              <w:left w:val="nil"/>
              <w:bottom w:val="nil"/>
              <w:right w:val="nil"/>
            </w:tcBorders>
            <w:shd w:val="clear" w:color="auto" w:fill="auto"/>
            <w:noWrap/>
            <w:vAlign w:val="bottom"/>
            <w:hideMark/>
          </w:tcPr>
          <w:p w14:paraId="6F73B94E"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4%</w:t>
            </w:r>
          </w:p>
        </w:tc>
        <w:tc>
          <w:tcPr>
            <w:tcW w:w="222" w:type="pct"/>
            <w:tcBorders>
              <w:top w:val="nil"/>
              <w:left w:val="nil"/>
              <w:bottom w:val="nil"/>
              <w:right w:val="nil"/>
            </w:tcBorders>
            <w:shd w:val="clear" w:color="auto" w:fill="auto"/>
            <w:noWrap/>
            <w:vAlign w:val="bottom"/>
            <w:hideMark/>
          </w:tcPr>
          <w:p w14:paraId="4598D79A"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8</w:t>
            </w:r>
          </w:p>
        </w:tc>
        <w:tc>
          <w:tcPr>
            <w:tcW w:w="246" w:type="pct"/>
            <w:gridSpan w:val="2"/>
            <w:tcBorders>
              <w:top w:val="nil"/>
              <w:left w:val="nil"/>
              <w:bottom w:val="nil"/>
              <w:right w:val="nil"/>
            </w:tcBorders>
            <w:shd w:val="clear" w:color="auto" w:fill="auto"/>
            <w:noWrap/>
            <w:vAlign w:val="bottom"/>
            <w:hideMark/>
          </w:tcPr>
          <w:p w14:paraId="139408F0" w14:textId="77777777" w:rsidR="00B56688" w:rsidRPr="00B56688" w:rsidRDefault="00B56688" w:rsidP="00494032">
            <w:pPr>
              <w:jc w:val="center"/>
              <w:rPr>
                <w:rFonts w:ascii="Arial" w:hAnsi="Arial" w:cs="Arial"/>
                <w:color w:val="000000"/>
                <w:sz w:val="16"/>
                <w:szCs w:val="16"/>
              </w:rPr>
            </w:pPr>
            <w:r w:rsidRPr="00B56688">
              <w:rPr>
                <w:rFonts w:ascii="Arial" w:hAnsi="Arial" w:cs="Arial"/>
                <w:color w:val="000000"/>
                <w:sz w:val="16"/>
                <w:szCs w:val="16"/>
              </w:rPr>
              <w:t>32%</w:t>
            </w:r>
          </w:p>
        </w:tc>
        <w:tc>
          <w:tcPr>
            <w:tcW w:w="1338" w:type="pct"/>
            <w:gridSpan w:val="2"/>
            <w:tcBorders>
              <w:top w:val="nil"/>
              <w:left w:val="nil"/>
              <w:bottom w:val="nil"/>
              <w:right w:val="nil"/>
            </w:tcBorders>
            <w:shd w:val="clear" w:color="auto" w:fill="auto"/>
            <w:noWrap/>
            <w:vAlign w:val="bottom"/>
            <w:hideMark/>
          </w:tcPr>
          <w:p w14:paraId="3127986F" w14:textId="77777777" w:rsidR="00B56688" w:rsidRPr="00B56688" w:rsidRDefault="00B56688" w:rsidP="00494032">
            <w:pPr>
              <w:rPr>
                <w:rFonts w:ascii="Arial" w:hAnsi="Arial" w:cs="Arial"/>
                <w:color w:val="000000"/>
                <w:sz w:val="16"/>
                <w:szCs w:val="16"/>
              </w:rPr>
            </w:pPr>
            <w:r w:rsidRPr="00B56688">
              <w:rPr>
                <w:rFonts w:ascii="Arial" w:hAnsi="Arial" w:cs="Arial"/>
                <w:color w:val="000000"/>
                <w:sz w:val="16"/>
                <w:szCs w:val="16"/>
              </w:rPr>
              <w:t>Thurman &amp; Hoyos (2020)</w:t>
            </w:r>
          </w:p>
        </w:tc>
      </w:tr>
      <w:tr w:rsidR="00B56688" w:rsidRPr="00B56688" w14:paraId="0E9A0889" w14:textId="77777777" w:rsidTr="00B56688">
        <w:trPr>
          <w:gridAfter w:val="1"/>
          <w:wAfter w:w="8" w:type="pct"/>
          <w:trHeight w:val="1025"/>
        </w:trPr>
        <w:tc>
          <w:tcPr>
            <w:tcW w:w="4992" w:type="pct"/>
            <w:gridSpan w:val="24"/>
            <w:tcBorders>
              <w:top w:val="single" w:sz="4" w:space="0" w:color="auto"/>
              <w:left w:val="nil"/>
              <w:bottom w:val="nil"/>
              <w:right w:val="nil"/>
            </w:tcBorders>
            <w:shd w:val="clear" w:color="auto" w:fill="auto"/>
            <w:vAlign w:val="bottom"/>
            <w:hideMark/>
          </w:tcPr>
          <w:p w14:paraId="0F320FEF" w14:textId="77777777" w:rsidR="00B56688" w:rsidRPr="00B56688" w:rsidRDefault="00B56688" w:rsidP="00494032">
            <w:pPr>
              <w:rPr>
                <w:rFonts w:ascii="Arial" w:hAnsi="Arial" w:cs="Arial"/>
                <w:i/>
                <w:iCs/>
                <w:color w:val="000000"/>
                <w:sz w:val="16"/>
                <w:szCs w:val="16"/>
              </w:rPr>
            </w:pPr>
            <w:r w:rsidRPr="00B56688">
              <w:rPr>
                <w:rFonts w:ascii="Arial" w:hAnsi="Arial" w:cs="Arial"/>
                <w:i/>
                <w:iCs/>
                <w:color w:val="000000"/>
                <w:sz w:val="16"/>
                <w:szCs w:val="16"/>
              </w:rPr>
              <w:t>Note.</w:t>
            </w:r>
            <w:r w:rsidRPr="00B56688">
              <w:rPr>
                <w:rFonts w:ascii="Arial" w:hAnsi="Arial" w:cs="Arial"/>
                <w:color w:val="000000"/>
                <w:sz w:val="16"/>
                <w:szCs w:val="16"/>
              </w:rPr>
              <w:t xml:space="preserve"> Gray cell = information not reported.</w:t>
            </w:r>
            <w:r w:rsidRPr="00B56688">
              <w:rPr>
                <w:rFonts w:ascii="Arial" w:hAnsi="Arial" w:cs="Arial"/>
                <w:i/>
                <w:iCs/>
                <w:color w:val="000000"/>
                <w:sz w:val="16"/>
                <w:szCs w:val="16"/>
              </w:rPr>
              <w:t xml:space="preserve"> </w:t>
            </w:r>
            <w:r w:rsidRPr="00B56688">
              <w:rPr>
                <w:rFonts w:ascii="Arial" w:hAnsi="Arial" w:cs="Arial"/>
                <w:color w:val="000000"/>
                <w:sz w:val="16"/>
                <w:szCs w:val="16"/>
              </w:rPr>
              <w:t>Eigsti et al. (2007) reported ethnicity as white, African American, and Hispanic. Some studies reported race and ethnicity as mutually exclusive: Prescott &amp; Ellis Weismer (2021, 2022), Hart &amp; Curtin (2021), Ellawadi &amp; Ellis Weismer (2015), Nevill et al. (2019), and Thurm et al. (2007). Prescott &amp; Ellis Weismer (2021, 2022) reported findings from the same sample. In Girolamo et al. (2022), two participants felt that U.S. Census categories did not align to their identities and reported "unknown."</w:t>
            </w:r>
          </w:p>
        </w:tc>
      </w:tr>
    </w:tbl>
    <w:p w14:paraId="2A00ECD8" w14:textId="12E18857" w:rsidR="00B56688" w:rsidRPr="001433A9" w:rsidRDefault="00B56688" w:rsidP="00292C9F">
      <w:pPr>
        <w:widowControl w:val="0"/>
        <w:spacing w:line="480" w:lineRule="auto"/>
        <w:ind w:firstLine="720"/>
        <w:rPr>
          <w:color w:val="000000" w:themeColor="text1"/>
        </w:rPr>
      </w:pPr>
    </w:p>
    <w:p w14:paraId="1FA0652C" w14:textId="52F8D635" w:rsidR="00C82253" w:rsidRPr="001433A9" w:rsidRDefault="00C82253" w:rsidP="00851E32">
      <w:pPr>
        <w:widowControl w:val="0"/>
        <w:spacing w:line="480" w:lineRule="auto"/>
        <w:rPr>
          <w:b/>
          <w:bCs/>
          <w:i/>
          <w:iCs/>
          <w:color w:val="000000" w:themeColor="text1"/>
        </w:rPr>
      </w:pPr>
      <w:r w:rsidRPr="001433A9">
        <w:rPr>
          <w:b/>
          <w:bCs/>
          <w:i/>
          <w:iCs/>
          <w:color w:val="000000" w:themeColor="text1"/>
        </w:rPr>
        <w:t>Gender and Sex</w:t>
      </w:r>
    </w:p>
    <w:p w14:paraId="67560FF0" w14:textId="1FD399B7" w:rsidR="00C82253" w:rsidRPr="001433A9" w:rsidRDefault="00C82253" w:rsidP="00851E32">
      <w:pPr>
        <w:widowControl w:val="0"/>
        <w:spacing w:line="480" w:lineRule="auto"/>
        <w:rPr>
          <w:color w:val="000000" w:themeColor="text1"/>
        </w:rPr>
      </w:pPr>
      <w:r w:rsidRPr="001433A9">
        <w:rPr>
          <w:color w:val="000000" w:themeColor="text1"/>
        </w:rPr>
        <w:lastRenderedPageBreak/>
        <w:tab/>
        <w:t>Across all studies, most participants were male (82%), while few were female (9%) or</w:t>
      </w:r>
      <w:r w:rsidR="00E317E7" w:rsidRPr="001433A9">
        <w:rPr>
          <w:color w:val="000000" w:themeColor="text1"/>
        </w:rPr>
        <w:t xml:space="preserve"> </w:t>
      </w:r>
      <w:r w:rsidRPr="001433A9">
        <w:rPr>
          <w:color w:val="000000" w:themeColor="text1"/>
        </w:rPr>
        <w:t>had no reported information on gender or sex (8%)</w:t>
      </w:r>
      <w:r w:rsidR="00C603E4" w:rsidRPr="001433A9">
        <w:rPr>
          <w:color w:val="000000" w:themeColor="text1"/>
        </w:rPr>
        <w:t>; see Table 4</w:t>
      </w:r>
      <w:r w:rsidRPr="001433A9">
        <w:rPr>
          <w:color w:val="000000" w:themeColor="text1"/>
        </w:rPr>
        <w:t xml:space="preserve">. Unlike race and ethnicity, studies were likely to </w:t>
      </w:r>
      <w:proofErr w:type="gramStart"/>
      <w:r w:rsidRPr="001433A9">
        <w:rPr>
          <w:color w:val="000000" w:themeColor="text1"/>
        </w:rPr>
        <w:t>at least partly report information</w:t>
      </w:r>
      <w:proofErr w:type="gramEnd"/>
      <w:r w:rsidRPr="001433A9">
        <w:rPr>
          <w:color w:val="000000" w:themeColor="text1"/>
        </w:rPr>
        <w:t xml:space="preserve"> on gender and sex. Fifty-five studies (92%) reported male and female representation; see Table 5. Of the five studies that did not report any information, one matched </w:t>
      </w:r>
      <w:proofErr w:type="gramStart"/>
      <w:r w:rsidRPr="001433A9">
        <w:rPr>
          <w:color w:val="000000" w:themeColor="text1"/>
        </w:rPr>
        <w:t>participants</w:t>
      </w:r>
      <w:proofErr w:type="gramEnd"/>
      <w:r w:rsidRPr="001433A9">
        <w:rPr>
          <w:color w:val="000000" w:themeColor="text1"/>
        </w:rPr>
        <w:t xml:space="preserve"> on gender </w:t>
      </w:r>
      <w:r w:rsidRPr="001433A9">
        <w:rPr>
          <w:noProof/>
          <w:color w:val="000000" w:themeColor="text1"/>
        </w:rPr>
        <w:t>(Landa &amp; Goldberg, 2005)</w:t>
      </w:r>
      <w:r w:rsidRPr="001433A9">
        <w:rPr>
          <w:color w:val="000000" w:themeColor="text1"/>
        </w:rPr>
        <w:t xml:space="preserve"> and another collected information on gender in a parent questionnaire but did not include this information in the publication </w:t>
      </w:r>
      <w:r w:rsidRPr="001433A9">
        <w:rPr>
          <w:noProof/>
          <w:color w:val="000000" w:themeColor="text1"/>
        </w:rPr>
        <w:t>(Riley et al., 2019)</w:t>
      </w:r>
      <w:r w:rsidRPr="001433A9">
        <w:rPr>
          <w:color w:val="000000" w:themeColor="text1"/>
        </w:rPr>
        <w:t>. It is unknown whether the other two</w:t>
      </w:r>
      <w:r w:rsidR="00E317E7" w:rsidRPr="001433A9">
        <w:rPr>
          <w:color w:val="000000" w:themeColor="text1"/>
        </w:rPr>
        <w:t xml:space="preserve"> </w:t>
      </w:r>
      <w:r w:rsidRPr="001433A9">
        <w:rPr>
          <w:color w:val="000000" w:themeColor="text1"/>
        </w:rPr>
        <w:t xml:space="preserve">studies did not report or did not collect this information </w:t>
      </w:r>
      <w:r w:rsidRPr="001433A9">
        <w:rPr>
          <w:noProof/>
          <w:color w:val="000000" w:themeColor="text1"/>
        </w:rPr>
        <w:t>(Jiménez et al., 2021; Minshew et al.,</w:t>
      </w:r>
      <w:r w:rsidR="00E317E7" w:rsidRPr="001433A9">
        <w:rPr>
          <w:noProof/>
          <w:color w:val="000000" w:themeColor="text1"/>
        </w:rPr>
        <w:t xml:space="preserve"> </w:t>
      </w:r>
      <w:r w:rsidRPr="001433A9">
        <w:rPr>
          <w:noProof/>
          <w:color w:val="000000" w:themeColor="text1"/>
        </w:rPr>
        <w:t>1995; Paul et al., 2008)</w:t>
      </w:r>
      <w:r w:rsidRPr="001433A9">
        <w:rPr>
          <w:color w:val="000000" w:themeColor="text1"/>
        </w:rPr>
        <w:t>.</w:t>
      </w:r>
    </w:p>
    <w:p w14:paraId="2CCF7AD6" w14:textId="77777777" w:rsidR="003E1158" w:rsidRPr="001433A9" w:rsidRDefault="00C82253" w:rsidP="00851E32">
      <w:pPr>
        <w:widowControl w:val="0"/>
        <w:spacing w:line="480" w:lineRule="auto"/>
        <w:ind w:firstLine="720"/>
        <w:rPr>
          <w:color w:val="000000" w:themeColor="text1"/>
        </w:rPr>
      </w:pPr>
      <w:r w:rsidRPr="001433A9">
        <w:rPr>
          <w:color w:val="000000" w:themeColor="text1"/>
        </w:rPr>
        <w:t xml:space="preserve">In the 55 reports with some information on gender/sex, reporting practices </w:t>
      </w:r>
      <w:proofErr w:type="gramStart"/>
      <w:r w:rsidRPr="001433A9">
        <w:rPr>
          <w:color w:val="000000" w:themeColor="text1"/>
        </w:rPr>
        <w:t>were</w:t>
      </w:r>
      <w:proofErr w:type="gramEnd"/>
    </w:p>
    <w:p w14:paraId="77B7D001" w14:textId="709F1F9F" w:rsidR="00C82253" w:rsidRDefault="00C82253" w:rsidP="00851E32">
      <w:pPr>
        <w:widowControl w:val="0"/>
        <w:spacing w:line="480" w:lineRule="auto"/>
        <w:rPr>
          <w:color w:val="000000" w:themeColor="text1"/>
        </w:rPr>
      </w:pPr>
      <w:r w:rsidRPr="001433A9">
        <w:rPr>
          <w:color w:val="000000" w:themeColor="text1"/>
        </w:rPr>
        <w:t>inconsistent. Twenty-three studies (41%) reported gender, and 10 studies (18%) reported sex. In contrast, 22 studies (40%) did not specify whether they reported gender or sex. Moreover, some studies only reported male participants (</w:t>
      </w:r>
      <w:r w:rsidRPr="001433A9">
        <w:rPr>
          <w:i/>
          <w:iCs/>
          <w:color w:val="000000" w:themeColor="text1"/>
        </w:rPr>
        <w:t xml:space="preserve">n </w:t>
      </w:r>
      <w:r w:rsidRPr="001433A9">
        <w:rPr>
          <w:color w:val="000000" w:themeColor="text1"/>
        </w:rPr>
        <w:t>= 5, or 9%</w:t>
      </w:r>
      <w:r w:rsidR="008E74FF" w:rsidRPr="001433A9">
        <w:rPr>
          <w:color w:val="000000" w:themeColor="text1"/>
        </w:rPr>
        <w:t xml:space="preserve">; </w:t>
      </w:r>
      <w:r w:rsidRPr="001433A9">
        <w:rPr>
          <w:noProof/>
          <w:color w:val="000000" w:themeColor="text1"/>
        </w:rPr>
        <w:t>Bal et al., 2020; Bal et al., 2016; Gagnon et al., 2021; Kover &amp; Ellis Weismer, 2014; Thurm et al., 2015)</w:t>
      </w:r>
      <w:r w:rsidRPr="001433A9">
        <w:rPr>
          <w:color w:val="000000" w:themeColor="text1"/>
        </w:rPr>
        <w:t xml:space="preserve"> or female participants (</w:t>
      </w:r>
      <w:r w:rsidRPr="001433A9">
        <w:rPr>
          <w:i/>
          <w:iCs/>
          <w:color w:val="000000" w:themeColor="text1"/>
        </w:rPr>
        <w:t xml:space="preserve">n </w:t>
      </w:r>
      <w:r w:rsidRPr="001433A9">
        <w:rPr>
          <w:color w:val="000000" w:themeColor="text1"/>
        </w:rPr>
        <w:t>= 1, or 2%</w:t>
      </w:r>
      <w:r w:rsidR="008E74FF" w:rsidRPr="001433A9">
        <w:rPr>
          <w:color w:val="000000" w:themeColor="text1"/>
        </w:rPr>
        <w:t xml:space="preserve">; </w:t>
      </w:r>
      <w:r w:rsidRPr="001433A9">
        <w:rPr>
          <w:noProof/>
          <w:color w:val="000000" w:themeColor="text1"/>
        </w:rPr>
        <w:t>Girolamo &amp; Rice, 2022)</w:t>
      </w:r>
      <w:r w:rsidRPr="001433A9">
        <w:rPr>
          <w:color w:val="000000" w:themeColor="text1"/>
        </w:rPr>
        <w:t xml:space="preserve">. </w:t>
      </w:r>
    </w:p>
    <w:p w14:paraId="238D0762" w14:textId="249E5080" w:rsidR="006D7F34" w:rsidRPr="001433A9" w:rsidRDefault="00A04378" w:rsidP="00851E32">
      <w:pPr>
        <w:widowControl w:val="0"/>
        <w:spacing w:line="480" w:lineRule="auto"/>
        <w:rPr>
          <w:color w:val="000000" w:themeColor="text1"/>
        </w:rPr>
      </w:pPr>
      <w:r>
        <w:rPr>
          <w:noProof/>
          <w:color w:val="000000" w:themeColor="text1"/>
        </w:rPr>
        <w:object w:dxaOrig="9360" w:dyaOrig="12900" w14:anchorId="688313EB">
          <v:shape id="_x0000_i1025" type="#_x0000_t75" alt="" style="width:468.3pt;height:645.1pt;mso-width-percent:0;mso-height-percent:0;mso-width-percent:0;mso-height-percent:0" o:ole="">
            <v:imagedata r:id="rId13" o:title=""/>
          </v:shape>
          <o:OLEObject Type="Embed" ProgID="Word.Document.12" ShapeID="_x0000_i1025" DrawAspect="Content" ObjectID="_1739465467" r:id="rId14">
            <o:FieldCodes>\s</o:FieldCodes>
          </o:OLEObject>
        </w:object>
      </w:r>
    </w:p>
    <w:p w14:paraId="61B39D17" w14:textId="77777777" w:rsidR="00C82253" w:rsidRPr="001433A9" w:rsidRDefault="00C82253" w:rsidP="00851E32">
      <w:pPr>
        <w:widowControl w:val="0"/>
        <w:spacing w:line="480" w:lineRule="auto"/>
        <w:rPr>
          <w:b/>
          <w:bCs/>
          <w:i/>
          <w:iCs/>
          <w:color w:val="000000" w:themeColor="text1"/>
        </w:rPr>
      </w:pPr>
      <w:r w:rsidRPr="001433A9">
        <w:rPr>
          <w:b/>
          <w:bCs/>
          <w:i/>
          <w:iCs/>
          <w:color w:val="000000" w:themeColor="text1"/>
        </w:rPr>
        <w:lastRenderedPageBreak/>
        <w:t>Socioeconomic status (SES)</w:t>
      </w:r>
    </w:p>
    <w:p w14:paraId="76783A39" w14:textId="30B3B408" w:rsidR="006D7F34" w:rsidRDefault="00C82253" w:rsidP="00292C9F">
      <w:pPr>
        <w:widowControl w:val="0"/>
        <w:spacing w:line="480" w:lineRule="auto"/>
        <w:ind w:firstLine="720"/>
        <w:rPr>
          <w:color w:val="000000" w:themeColor="text1"/>
        </w:rPr>
      </w:pPr>
      <w:r w:rsidRPr="001433A9">
        <w:rPr>
          <w:color w:val="000000" w:themeColor="text1"/>
        </w:rPr>
        <w:t xml:space="preserve">Though 30 studies (55%) reported some information on SES, only </w:t>
      </w:r>
      <w:r w:rsidR="00903AB2" w:rsidRPr="001433A9">
        <w:rPr>
          <w:color w:val="000000" w:themeColor="text1"/>
        </w:rPr>
        <w:t>10</w:t>
      </w:r>
      <w:r w:rsidRPr="001433A9">
        <w:rPr>
          <w:color w:val="000000" w:themeColor="text1"/>
        </w:rPr>
        <w:t xml:space="preserve"> studies (</w:t>
      </w:r>
      <w:r w:rsidR="00903AB2" w:rsidRPr="001433A9">
        <w:rPr>
          <w:color w:val="000000" w:themeColor="text1"/>
        </w:rPr>
        <w:t>17</w:t>
      </w:r>
      <w:r w:rsidRPr="001433A9">
        <w:rPr>
          <w:color w:val="000000" w:themeColor="text1"/>
        </w:rPr>
        <w:t xml:space="preserve">%) </w:t>
      </w:r>
      <w:r w:rsidR="00903AB2" w:rsidRPr="001433A9">
        <w:rPr>
          <w:color w:val="000000" w:themeColor="text1"/>
        </w:rPr>
        <w:t>used</w:t>
      </w:r>
      <w:r w:rsidR="00E317E7" w:rsidRPr="001433A9">
        <w:rPr>
          <w:color w:val="000000" w:themeColor="text1"/>
        </w:rPr>
        <w:t xml:space="preserve"> </w:t>
      </w:r>
      <w:r w:rsidRPr="001433A9">
        <w:rPr>
          <w:color w:val="000000" w:themeColor="text1"/>
        </w:rPr>
        <w:t xml:space="preserve">multiple indicators for SES; see Table 5. Most studies reporting multiple indicators utilized compound measures. Four studies used the Hollingshead Four-Factor Index </w:t>
      </w:r>
      <w:r w:rsidRPr="001433A9">
        <w:rPr>
          <w:noProof/>
          <w:color w:val="000000" w:themeColor="text1"/>
        </w:rPr>
        <w:t>(Hollingshead, 1975)</w:t>
      </w:r>
      <w:r w:rsidRPr="001433A9">
        <w:rPr>
          <w:color w:val="000000" w:themeColor="text1"/>
        </w:rPr>
        <w:t xml:space="preserve">, which includes parental level of education, marital status, employment status, and occupational prestige </w:t>
      </w:r>
      <w:r w:rsidRPr="001433A9">
        <w:rPr>
          <w:noProof/>
          <w:color w:val="000000" w:themeColor="text1"/>
        </w:rPr>
        <w:t>(Eigsti &amp; Bennetto, 2009; Eigsti et al., 2007; Landa &amp; Goldberg, 2005; Thurm et al., 2007)</w:t>
      </w:r>
      <w:r w:rsidR="00E317E7" w:rsidRPr="001433A9">
        <w:rPr>
          <w:color w:val="000000" w:themeColor="text1"/>
        </w:rPr>
        <w:t xml:space="preserve">; </w:t>
      </w:r>
      <w:r w:rsidRPr="001433A9">
        <w:rPr>
          <w:noProof/>
          <w:color w:val="000000" w:themeColor="text1"/>
        </w:rPr>
        <w:t>Thurm et al. (2007)</w:t>
      </w:r>
      <w:r w:rsidRPr="001433A9">
        <w:rPr>
          <w:color w:val="000000" w:themeColor="text1"/>
        </w:rPr>
        <w:t xml:space="preserve"> only reported level of education and occupational prestige. </w:t>
      </w:r>
      <w:r w:rsidRPr="001433A9">
        <w:rPr>
          <w:noProof/>
          <w:color w:val="000000" w:themeColor="text1"/>
        </w:rPr>
        <w:t>Minshew et al. (1995)</w:t>
      </w:r>
      <w:r w:rsidRPr="001433A9">
        <w:rPr>
          <w:color w:val="000000" w:themeColor="text1"/>
        </w:rPr>
        <w:t xml:space="preserve"> used the Hollingshead Two-Factor Index </w:t>
      </w:r>
      <w:r w:rsidRPr="001433A9">
        <w:rPr>
          <w:noProof/>
          <w:color w:val="000000" w:themeColor="text1"/>
        </w:rPr>
        <w:t>(Hollingshead, 1957)</w:t>
      </w:r>
      <w:r w:rsidRPr="001433A9">
        <w:rPr>
          <w:color w:val="000000" w:themeColor="text1"/>
        </w:rPr>
        <w:t xml:space="preserve">, which includes marital status and occupational prestige. Four studies reported a combination of maternal or parental level of education and household income </w:t>
      </w:r>
      <w:r w:rsidRPr="001433A9">
        <w:rPr>
          <w:noProof/>
          <w:color w:val="000000" w:themeColor="text1"/>
        </w:rPr>
        <w:t>(Bennett et al., 2014; Gagnon et al., 2021; Hart &amp; Curtin, 2021; Klusek et al., 2014)</w:t>
      </w:r>
      <w:r w:rsidRPr="001433A9">
        <w:rPr>
          <w:color w:val="000000" w:themeColor="text1"/>
        </w:rPr>
        <w:t xml:space="preserve">. </w:t>
      </w:r>
    </w:p>
    <w:tbl>
      <w:tblPr>
        <w:tblW w:w="10399" w:type="dxa"/>
        <w:tblLook w:val="04A0" w:firstRow="1" w:lastRow="0" w:firstColumn="1" w:lastColumn="0" w:noHBand="0" w:noVBand="1"/>
      </w:tblPr>
      <w:tblGrid>
        <w:gridCol w:w="7380"/>
        <w:gridCol w:w="3019"/>
      </w:tblGrid>
      <w:tr w:rsidR="006D7F34" w:rsidRPr="00614FFD" w14:paraId="0E0122D1" w14:textId="77777777" w:rsidTr="00494032">
        <w:trPr>
          <w:trHeight w:val="260"/>
        </w:trPr>
        <w:tc>
          <w:tcPr>
            <w:tcW w:w="10399" w:type="dxa"/>
            <w:gridSpan w:val="2"/>
            <w:tcBorders>
              <w:top w:val="nil"/>
              <w:left w:val="nil"/>
              <w:bottom w:val="nil"/>
              <w:right w:val="nil"/>
            </w:tcBorders>
            <w:shd w:val="clear" w:color="auto" w:fill="auto"/>
            <w:noWrap/>
            <w:vAlign w:val="bottom"/>
            <w:hideMark/>
          </w:tcPr>
          <w:p w14:paraId="1FBF6E8F" w14:textId="77777777" w:rsidR="006D7F34" w:rsidRPr="00614FFD" w:rsidRDefault="006D7F34" w:rsidP="00494032">
            <w:pPr>
              <w:rPr>
                <w:rFonts w:ascii="Arial" w:hAnsi="Arial" w:cs="Arial"/>
                <w:b/>
                <w:bCs/>
                <w:color w:val="000000"/>
                <w:sz w:val="22"/>
                <w:szCs w:val="22"/>
              </w:rPr>
            </w:pPr>
            <w:r w:rsidRPr="00614FFD">
              <w:rPr>
                <w:rFonts w:ascii="Arial" w:hAnsi="Arial" w:cs="Arial"/>
                <w:b/>
                <w:bCs/>
                <w:color w:val="000000"/>
                <w:sz w:val="22"/>
                <w:szCs w:val="22"/>
              </w:rPr>
              <w:t>Table 5</w:t>
            </w:r>
          </w:p>
        </w:tc>
      </w:tr>
      <w:tr w:rsidR="006D7F34" w:rsidRPr="00614FFD" w14:paraId="381D49D6" w14:textId="77777777" w:rsidTr="00494032">
        <w:trPr>
          <w:trHeight w:val="260"/>
        </w:trPr>
        <w:tc>
          <w:tcPr>
            <w:tcW w:w="10399" w:type="dxa"/>
            <w:gridSpan w:val="2"/>
            <w:tcBorders>
              <w:top w:val="nil"/>
              <w:left w:val="nil"/>
              <w:bottom w:val="single" w:sz="4" w:space="0" w:color="auto"/>
              <w:right w:val="nil"/>
            </w:tcBorders>
            <w:shd w:val="clear" w:color="auto" w:fill="auto"/>
            <w:noWrap/>
            <w:vAlign w:val="bottom"/>
            <w:hideMark/>
          </w:tcPr>
          <w:p w14:paraId="5CA16E9C" w14:textId="77777777" w:rsidR="006D7F34" w:rsidRPr="00614FFD" w:rsidRDefault="006D7F34" w:rsidP="00494032">
            <w:pPr>
              <w:rPr>
                <w:rFonts w:ascii="Arial" w:hAnsi="Arial" w:cs="Arial"/>
                <w:i/>
                <w:iCs/>
                <w:color w:val="000000"/>
                <w:sz w:val="22"/>
                <w:szCs w:val="22"/>
              </w:rPr>
            </w:pPr>
            <w:r w:rsidRPr="00614FFD">
              <w:rPr>
                <w:rFonts w:ascii="Arial" w:hAnsi="Arial" w:cs="Arial"/>
                <w:i/>
                <w:iCs/>
                <w:color w:val="000000"/>
                <w:sz w:val="22"/>
                <w:szCs w:val="22"/>
              </w:rPr>
              <w:t>Socioeconomic Status</w:t>
            </w:r>
            <w:r>
              <w:rPr>
                <w:rFonts w:ascii="Arial" w:hAnsi="Arial" w:cs="Arial"/>
                <w:i/>
                <w:iCs/>
                <w:color w:val="000000"/>
                <w:sz w:val="22"/>
                <w:szCs w:val="22"/>
              </w:rPr>
              <w:t xml:space="preserve"> (SES)</w:t>
            </w:r>
            <w:r w:rsidRPr="00614FFD">
              <w:rPr>
                <w:rFonts w:ascii="Arial" w:hAnsi="Arial" w:cs="Arial"/>
                <w:i/>
                <w:iCs/>
                <w:color w:val="000000"/>
                <w:sz w:val="22"/>
                <w:szCs w:val="22"/>
              </w:rPr>
              <w:t xml:space="preserve"> of Autistic Participants in Studies Reporting Any Information on </w:t>
            </w:r>
            <w:r>
              <w:rPr>
                <w:rFonts w:ascii="Arial" w:hAnsi="Arial" w:cs="Arial"/>
                <w:i/>
                <w:iCs/>
                <w:color w:val="000000"/>
                <w:sz w:val="22"/>
                <w:szCs w:val="22"/>
              </w:rPr>
              <w:t>SES</w:t>
            </w:r>
            <w:r w:rsidRPr="00614FFD">
              <w:rPr>
                <w:rFonts w:ascii="Arial" w:hAnsi="Arial" w:cs="Arial"/>
                <w:i/>
                <w:iCs/>
                <w:color w:val="000000"/>
                <w:sz w:val="22"/>
                <w:szCs w:val="22"/>
              </w:rPr>
              <w:t xml:space="preserve"> </w:t>
            </w:r>
          </w:p>
        </w:tc>
      </w:tr>
      <w:tr w:rsidR="006D7F34" w:rsidRPr="00614FFD" w14:paraId="37606AB2" w14:textId="77777777" w:rsidTr="00494032">
        <w:trPr>
          <w:trHeight w:val="260"/>
        </w:trPr>
        <w:tc>
          <w:tcPr>
            <w:tcW w:w="7380" w:type="dxa"/>
            <w:tcBorders>
              <w:top w:val="nil"/>
              <w:left w:val="nil"/>
              <w:bottom w:val="nil"/>
              <w:right w:val="nil"/>
            </w:tcBorders>
            <w:shd w:val="clear" w:color="auto" w:fill="auto"/>
            <w:noWrap/>
            <w:vAlign w:val="center"/>
            <w:hideMark/>
          </w:tcPr>
          <w:p w14:paraId="56A6778C" w14:textId="77777777" w:rsidR="006D7F34" w:rsidRPr="00614FFD" w:rsidRDefault="006D7F34" w:rsidP="00494032">
            <w:pPr>
              <w:jc w:val="center"/>
              <w:rPr>
                <w:rFonts w:ascii="Arial" w:hAnsi="Arial" w:cs="Arial"/>
                <w:color w:val="000000"/>
                <w:sz w:val="22"/>
                <w:szCs w:val="22"/>
              </w:rPr>
            </w:pPr>
            <w:r w:rsidRPr="00614FFD">
              <w:rPr>
                <w:rFonts w:ascii="Arial" w:hAnsi="Arial" w:cs="Arial"/>
                <w:color w:val="000000"/>
                <w:sz w:val="22"/>
                <w:szCs w:val="22"/>
              </w:rPr>
              <w:t>SES Distribution</w:t>
            </w:r>
          </w:p>
        </w:tc>
        <w:tc>
          <w:tcPr>
            <w:tcW w:w="3019" w:type="dxa"/>
            <w:tcBorders>
              <w:top w:val="nil"/>
              <w:left w:val="nil"/>
              <w:bottom w:val="nil"/>
              <w:right w:val="nil"/>
            </w:tcBorders>
            <w:shd w:val="clear" w:color="auto" w:fill="auto"/>
            <w:noWrap/>
            <w:vAlign w:val="center"/>
            <w:hideMark/>
          </w:tcPr>
          <w:p w14:paraId="4B4529C6" w14:textId="77777777" w:rsidR="006D7F34" w:rsidRPr="00614FFD" w:rsidRDefault="006D7F34" w:rsidP="00494032">
            <w:pPr>
              <w:jc w:val="center"/>
              <w:rPr>
                <w:rFonts w:ascii="Arial" w:hAnsi="Arial" w:cs="Arial"/>
                <w:color w:val="000000"/>
                <w:sz w:val="22"/>
                <w:szCs w:val="22"/>
              </w:rPr>
            </w:pPr>
            <w:r w:rsidRPr="00614FFD">
              <w:rPr>
                <w:rFonts w:ascii="Arial" w:hAnsi="Arial" w:cs="Arial"/>
                <w:color w:val="000000"/>
                <w:sz w:val="22"/>
                <w:szCs w:val="22"/>
              </w:rPr>
              <w:t>Reference</w:t>
            </w:r>
          </w:p>
        </w:tc>
      </w:tr>
      <w:tr w:rsidR="006D7F34" w:rsidRPr="00614FFD" w14:paraId="131068A9" w14:textId="77777777" w:rsidTr="00494032">
        <w:trPr>
          <w:trHeight w:val="260"/>
        </w:trPr>
        <w:tc>
          <w:tcPr>
            <w:tcW w:w="10399" w:type="dxa"/>
            <w:gridSpan w:val="2"/>
            <w:tcBorders>
              <w:top w:val="single" w:sz="4" w:space="0" w:color="auto"/>
              <w:left w:val="nil"/>
              <w:bottom w:val="nil"/>
              <w:right w:val="nil"/>
            </w:tcBorders>
            <w:shd w:val="clear" w:color="auto" w:fill="auto"/>
            <w:noWrap/>
            <w:vAlign w:val="center"/>
            <w:hideMark/>
          </w:tcPr>
          <w:p w14:paraId="08E9F95F" w14:textId="77777777" w:rsidR="006D7F34" w:rsidRPr="00614FFD" w:rsidRDefault="006D7F34" w:rsidP="00494032">
            <w:pPr>
              <w:rPr>
                <w:rFonts w:ascii="Arial" w:hAnsi="Arial" w:cs="Arial"/>
                <w:b/>
                <w:bCs/>
                <w:color w:val="000000"/>
                <w:sz w:val="22"/>
                <w:szCs w:val="22"/>
              </w:rPr>
            </w:pPr>
            <w:r w:rsidRPr="00614FFD">
              <w:rPr>
                <w:rFonts w:ascii="Arial" w:hAnsi="Arial" w:cs="Arial"/>
                <w:b/>
                <w:bCs/>
                <w:color w:val="000000"/>
                <w:sz w:val="22"/>
                <w:szCs w:val="22"/>
              </w:rPr>
              <w:t xml:space="preserve">Reported </w:t>
            </w:r>
            <w:r>
              <w:rPr>
                <w:rFonts w:ascii="Arial" w:hAnsi="Arial" w:cs="Arial"/>
                <w:b/>
                <w:bCs/>
                <w:color w:val="000000"/>
                <w:sz w:val="22"/>
                <w:szCs w:val="22"/>
              </w:rPr>
              <w:t xml:space="preserve">Hollingshead (1975) Four-Factor Index of SES: </w:t>
            </w:r>
            <w:r w:rsidRPr="00614FFD">
              <w:rPr>
                <w:rFonts w:ascii="Arial" w:hAnsi="Arial" w:cs="Arial"/>
                <w:b/>
                <w:bCs/>
                <w:color w:val="000000"/>
                <w:sz w:val="22"/>
                <w:szCs w:val="22"/>
              </w:rPr>
              <w:t>Parental Education, Marital Status, Employment Status, Occupational Prestige</w:t>
            </w:r>
          </w:p>
        </w:tc>
      </w:tr>
      <w:tr w:rsidR="006D7F34" w:rsidRPr="00614FFD" w14:paraId="3E8736A1" w14:textId="77777777" w:rsidTr="00494032">
        <w:trPr>
          <w:trHeight w:val="260"/>
        </w:trPr>
        <w:tc>
          <w:tcPr>
            <w:tcW w:w="7380" w:type="dxa"/>
            <w:tcBorders>
              <w:top w:val="nil"/>
              <w:left w:val="nil"/>
              <w:bottom w:val="nil"/>
              <w:right w:val="nil"/>
            </w:tcBorders>
            <w:shd w:val="clear" w:color="auto" w:fill="auto"/>
            <w:noWrap/>
            <w:vAlign w:val="bottom"/>
            <w:hideMark/>
          </w:tcPr>
          <w:p w14:paraId="778BE93E" w14:textId="77777777" w:rsidR="006D7F34" w:rsidRPr="00614FFD" w:rsidRDefault="006D7F34" w:rsidP="00494032">
            <w:pPr>
              <w:rPr>
                <w:rFonts w:ascii="Arial" w:hAnsi="Arial" w:cs="Arial"/>
                <w:color w:val="000000"/>
                <w:sz w:val="22"/>
                <w:szCs w:val="22"/>
              </w:rPr>
            </w:pPr>
            <w:r>
              <w:rPr>
                <w:rFonts w:ascii="Arial" w:hAnsi="Arial" w:cs="Arial"/>
                <w:color w:val="000000"/>
                <w:sz w:val="22"/>
                <w:szCs w:val="22"/>
              </w:rPr>
              <w:t>51</w:t>
            </w:r>
            <w:r w:rsidRPr="00614FFD">
              <w:rPr>
                <w:rFonts w:ascii="Arial" w:hAnsi="Arial" w:cs="Arial"/>
                <w:color w:val="000000"/>
                <w:sz w:val="22"/>
                <w:szCs w:val="22"/>
              </w:rPr>
              <w:t xml:space="preserve"> (1</w:t>
            </w:r>
            <w:r>
              <w:rPr>
                <w:rFonts w:ascii="Arial" w:hAnsi="Arial" w:cs="Arial"/>
                <w:color w:val="000000"/>
                <w:sz w:val="22"/>
                <w:szCs w:val="22"/>
              </w:rPr>
              <w:t>5</w:t>
            </w:r>
            <w:r w:rsidRPr="00614FFD">
              <w:rPr>
                <w:rFonts w:ascii="Arial" w:hAnsi="Arial" w:cs="Arial"/>
                <w:color w:val="000000"/>
                <w:sz w:val="22"/>
                <w:szCs w:val="22"/>
              </w:rPr>
              <w:t>, 27-66)</w:t>
            </w:r>
          </w:p>
        </w:tc>
        <w:tc>
          <w:tcPr>
            <w:tcW w:w="3019" w:type="dxa"/>
            <w:tcBorders>
              <w:top w:val="nil"/>
              <w:left w:val="nil"/>
              <w:bottom w:val="nil"/>
              <w:right w:val="nil"/>
            </w:tcBorders>
            <w:shd w:val="clear" w:color="auto" w:fill="auto"/>
            <w:noWrap/>
            <w:vAlign w:val="bottom"/>
            <w:hideMark/>
          </w:tcPr>
          <w:p w14:paraId="4D7FE529"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Eigsti &amp; Bennetto (2009)</w:t>
            </w:r>
          </w:p>
        </w:tc>
      </w:tr>
      <w:tr w:rsidR="006D7F34" w:rsidRPr="00614FFD" w14:paraId="037CDCEE" w14:textId="77777777" w:rsidTr="00494032">
        <w:trPr>
          <w:trHeight w:val="260"/>
        </w:trPr>
        <w:tc>
          <w:tcPr>
            <w:tcW w:w="7380" w:type="dxa"/>
            <w:tcBorders>
              <w:top w:val="nil"/>
              <w:left w:val="nil"/>
              <w:bottom w:val="nil"/>
              <w:right w:val="nil"/>
            </w:tcBorders>
            <w:shd w:val="clear" w:color="auto" w:fill="auto"/>
            <w:noWrap/>
            <w:vAlign w:val="bottom"/>
            <w:hideMark/>
          </w:tcPr>
          <w:p w14:paraId="64478512"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51 (10, 32-66)</w:t>
            </w:r>
          </w:p>
        </w:tc>
        <w:tc>
          <w:tcPr>
            <w:tcW w:w="3019" w:type="dxa"/>
            <w:tcBorders>
              <w:top w:val="nil"/>
              <w:left w:val="nil"/>
              <w:bottom w:val="nil"/>
              <w:right w:val="nil"/>
            </w:tcBorders>
            <w:shd w:val="clear" w:color="auto" w:fill="auto"/>
            <w:noWrap/>
            <w:vAlign w:val="bottom"/>
            <w:hideMark/>
          </w:tcPr>
          <w:p w14:paraId="26C8E16D"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Eigsti et al. (2007)</w:t>
            </w:r>
          </w:p>
        </w:tc>
      </w:tr>
      <w:tr w:rsidR="006D7F34" w:rsidRPr="00614FFD" w14:paraId="75F07FD0" w14:textId="77777777" w:rsidTr="00494032">
        <w:trPr>
          <w:trHeight w:val="260"/>
        </w:trPr>
        <w:tc>
          <w:tcPr>
            <w:tcW w:w="7380" w:type="dxa"/>
            <w:tcBorders>
              <w:top w:val="nil"/>
              <w:left w:val="nil"/>
              <w:bottom w:val="nil"/>
              <w:right w:val="nil"/>
            </w:tcBorders>
            <w:shd w:val="clear" w:color="auto" w:fill="auto"/>
            <w:noWrap/>
            <w:vAlign w:val="bottom"/>
            <w:hideMark/>
          </w:tcPr>
          <w:p w14:paraId="68345121"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53 (</w:t>
            </w:r>
            <w:r>
              <w:rPr>
                <w:rFonts w:ascii="Arial" w:hAnsi="Arial" w:cs="Arial"/>
                <w:color w:val="000000"/>
                <w:sz w:val="22"/>
                <w:szCs w:val="22"/>
              </w:rPr>
              <w:t>10</w:t>
            </w:r>
            <w:r w:rsidRPr="00614FFD">
              <w:rPr>
                <w:rFonts w:ascii="Arial" w:hAnsi="Arial" w:cs="Arial"/>
                <w:color w:val="000000"/>
                <w:sz w:val="22"/>
                <w:szCs w:val="22"/>
              </w:rPr>
              <w:t>, 27-66)</w:t>
            </w:r>
          </w:p>
        </w:tc>
        <w:tc>
          <w:tcPr>
            <w:tcW w:w="3019" w:type="dxa"/>
            <w:tcBorders>
              <w:top w:val="nil"/>
              <w:left w:val="nil"/>
              <w:bottom w:val="nil"/>
              <w:right w:val="nil"/>
            </w:tcBorders>
            <w:shd w:val="clear" w:color="auto" w:fill="auto"/>
            <w:noWrap/>
            <w:vAlign w:val="bottom"/>
            <w:hideMark/>
          </w:tcPr>
          <w:p w14:paraId="3A194172"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Landa &amp; Goldberg (2005)</w:t>
            </w:r>
          </w:p>
        </w:tc>
      </w:tr>
      <w:tr w:rsidR="006D7F34" w:rsidRPr="00614FFD" w14:paraId="6F14FF0E" w14:textId="77777777" w:rsidTr="00494032">
        <w:trPr>
          <w:trHeight w:val="260"/>
        </w:trPr>
        <w:tc>
          <w:tcPr>
            <w:tcW w:w="10399" w:type="dxa"/>
            <w:gridSpan w:val="2"/>
            <w:tcBorders>
              <w:top w:val="nil"/>
              <w:left w:val="nil"/>
              <w:bottom w:val="nil"/>
              <w:right w:val="nil"/>
            </w:tcBorders>
            <w:shd w:val="clear" w:color="auto" w:fill="auto"/>
            <w:noWrap/>
            <w:vAlign w:val="bottom"/>
            <w:hideMark/>
          </w:tcPr>
          <w:p w14:paraId="266440C1" w14:textId="77777777" w:rsidR="006D7F34" w:rsidRPr="00614FFD" w:rsidRDefault="006D7F34" w:rsidP="00494032">
            <w:pPr>
              <w:rPr>
                <w:rFonts w:ascii="Arial" w:hAnsi="Arial" w:cs="Arial"/>
                <w:b/>
                <w:bCs/>
                <w:color w:val="000000"/>
                <w:sz w:val="22"/>
                <w:szCs w:val="22"/>
              </w:rPr>
            </w:pPr>
            <w:r w:rsidRPr="00614FFD">
              <w:rPr>
                <w:rFonts w:ascii="Arial" w:hAnsi="Arial" w:cs="Arial"/>
                <w:b/>
                <w:bCs/>
                <w:color w:val="000000"/>
                <w:sz w:val="22"/>
                <w:szCs w:val="22"/>
              </w:rPr>
              <w:t xml:space="preserve">Reported </w:t>
            </w:r>
            <w:r>
              <w:rPr>
                <w:rFonts w:ascii="Arial" w:hAnsi="Arial" w:cs="Arial"/>
                <w:b/>
                <w:bCs/>
                <w:color w:val="000000"/>
                <w:sz w:val="22"/>
                <w:szCs w:val="22"/>
              </w:rPr>
              <w:t xml:space="preserve">Hollingshead (1957, 1975) </w:t>
            </w:r>
            <w:r w:rsidRPr="00614FFD">
              <w:rPr>
                <w:rFonts w:ascii="Arial" w:hAnsi="Arial" w:cs="Arial"/>
                <w:b/>
                <w:bCs/>
                <w:color w:val="000000"/>
                <w:sz w:val="22"/>
                <w:szCs w:val="22"/>
              </w:rPr>
              <w:t>Maternal/Parental Level of Education &amp; Occupational Prestige</w:t>
            </w:r>
          </w:p>
        </w:tc>
      </w:tr>
      <w:tr w:rsidR="006D7F34" w:rsidRPr="00614FFD" w14:paraId="16F1E675" w14:textId="77777777" w:rsidTr="00494032">
        <w:trPr>
          <w:trHeight w:val="260"/>
        </w:trPr>
        <w:tc>
          <w:tcPr>
            <w:tcW w:w="7380" w:type="dxa"/>
            <w:tcBorders>
              <w:top w:val="nil"/>
              <w:left w:val="nil"/>
              <w:bottom w:val="nil"/>
              <w:right w:val="nil"/>
            </w:tcBorders>
            <w:shd w:val="clear" w:color="auto" w:fill="auto"/>
            <w:noWrap/>
            <w:vAlign w:val="bottom"/>
            <w:hideMark/>
          </w:tcPr>
          <w:p w14:paraId="1389BF37"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38 (16)</w:t>
            </w:r>
          </w:p>
        </w:tc>
        <w:tc>
          <w:tcPr>
            <w:tcW w:w="3019" w:type="dxa"/>
            <w:tcBorders>
              <w:top w:val="nil"/>
              <w:left w:val="nil"/>
              <w:bottom w:val="nil"/>
              <w:right w:val="nil"/>
            </w:tcBorders>
            <w:shd w:val="clear" w:color="auto" w:fill="auto"/>
            <w:noWrap/>
            <w:vAlign w:val="bottom"/>
            <w:hideMark/>
          </w:tcPr>
          <w:p w14:paraId="26794FAA"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Thurm et al. (2007)</w:t>
            </w:r>
          </w:p>
        </w:tc>
      </w:tr>
      <w:tr w:rsidR="006D7F34" w:rsidRPr="00614FFD" w14:paraId="73477D99" w14:textId="77777777" w:rsidTr="00494032">
        <w:trPr>
          <w:trHeight w:val="260"/>
        </w:trPr>
        <w:tc>
          <w:tcPr>
            <w:tcW w:w="7380" w:type="dxa"/>
            <w:tcBorders>
              <w:top w:val="nil"/>
              <w:left w:val="nil"/>
              <w:bottom w:val="nil"/>
              <w:right w:val="nil"/>
            </w:tcBorders>
            <w:shd w:val="clear" w:color="auto" w:fill="auto"/>
            <w:noWrap/>
            <w:vAlign w:val="bottom"/>
            <w:hideMark/>
          </w:tcPr>
          <w:p w14:paraId="5922C4BC" w14:textId="77777777" w:rsidR="006D7F34" w:rsidRPr="00614FFD" w:rsidRDefault="006D7F34" w:rsidP="00494032">
            <w:pPr>
              <w:rPr>
                <w:rFonts w:ascii="Arial" w:hAnsi="Arial" w:cs="Arial"/>
                <w:color w:val="000000"/>
                <w:sz w:val="22"/>
                <w:szCs w:val="22"/>
              </w:rPr>
            </w:pPr>
            <w:r>
              <w:rPr>
                <w:rFonts w:ascii="Arial" w:hAnsi="Arial" w:cs="Arial"/>
                <w:color w:val="000000"/>
                <w:sz w:val="22"/>
                <w:szCs w:val="22"/>
              </w:rPr>
              <w:t>4</w:t>
            </w:r>
            <w:r w:rsidRPr="00614FFD">
              <w:rPr>
                <w:rFonts w:ascii="Arial" w:hAnsi="Arial" w:cs="Arial"/>
                <w:color w:val="000000"/>
                <w:sz w:val="22"/>
                <w:szCs w:val="22"/>
              </w:rPr>
              <w:t xml:space="preserve"> (</w:t>
            </w:r>
            <w:r>
              <w:rPr>
                <w:rFonts w:ascii="Arial" w:hAnsi="Arial" w:cs="Arial"/>
                <w:color w:val="000000"/>
                <w:sz w:val="22"/>
                <w:szCs w:val="22"/>
              </w:rPr>
              <w:t>2</w:t>
            </w:r>
            <w:r w:rsidRPr="00614FFD">
              <w:rPr>
                <w:rFonts w:ascii="Arial" w:hAnsi="Arial" w:cs="Arial"/>
                <w:color w:val="000000"/>
                <w:sz w:val="22"/>
                <w:szCs w:val="22"/>
              </w:rPr>
              <w:t>)</w:t>
            </w:r>
          </w:p>
        </w:tc>
        <w:tc>
          <w:tcPr>
            <w:tcW w:w="3019" w:type="dxa"/>
            <w:tcBorders>
              <w:top w:val="nil"/>
              <w:left w:val="nil"/>
              <w:bottom w:val="nil"/>
              <w:right w:val="nil"/>
            </w:tcBorders>
            <w:shd w:val="clear" w:color="auto" w:fill="auto"/>
            <w:noWrap/>
            <w:vAlign w:val="bottom"/>
            <w:hideMark/>
          </w:tcPr>
          <w:p w14:paraId="25E23CE9"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Minshew et al. (1995)</w:t>
            </w:r>
          </w:p>
        </w:tc>
      </w:tr>
      <w:tr w:rsidR="006D7F34" w:rsidRPr="00614FFD" w14:paraId="268EBAAB" w14:textId="77777777" w:rsidTr="00494032">
        <w:trPr>
          <w:trHeight w:val="260"/>
        </w:trPr>
        <w:tc>
          <w:tcPr>
            <w:tcW w:w="7380" w:type="dxa"/>
            <w:tcBorders>
              <w:top w:val="nil"/>
              <w:left w:val="nil"/>
              <w:bottom w:val="nil"/>
              <w:right w:val="nil"/>
            </w:tcBorders>
            <w:shd w:val="clear" w:color="auto" w:fill="auto"/>
            <w:noWrap/>
            <w:vAlign w:val="bottom"/>
            <w:hideMark/>
          </w:tcPr>
          <w:p w14:paraId="18AA5750" w14:textId="77777777" w:rsidR="006D7F34" w:rsidRPr="00614FFD" w:rsidRDefault="006D7F34" w:rsidP="00494032">
            <w:pPr>
              <w:rPr>
                <w:rFonts w:ascii="Arial" w:hAnsi="Arial" w:cs="Arial"/>
                <w:b/>
                <w:bCs/>
                <w:color w:val="000000"/>
                <w:sz w:val="22"/>
                <w:szCs w:val="22"/>
              </w:rPr>
            </w:pPr>
            <w:r w:rsidRPr="00614FFD">
              <w:rPr>
                <w:rFonts w:ascii="Arial" w:hAnsi="Arial" w:cs="Arial"/>
                <w:b/>
                <w:bCs/>
                <w:color w:val="000000"/>
                <w:sz w:val="22"/>
                <w:szCs w:val="22"/>
              </w:rPr>
              <w:t>Reported Maternal/Parental Level of Education &amp; Household Income</w:t>
            </w:r>
          </w:p>
        </w:tc>
        <w:tc>
          <w:tcPr>
            <w:tcW w:w="3019" w:type="dxa"/>
            <w:tcBorders>
              <w:top w:val="nil"/>
              <w:left w:val="nil"/>
              <w:bottom w:val="nil"/>
              <w:right w:val="nil"/>
            </w:tcBorders>
            <w:shd w:val="clear" w:color="auto" w:fill="auto"/>
            <w:noWrap/>
            <w:vAlign w:val="bottom"/>
            <w:hideMark/>
          </w:tcPr>
          <w:p w14:paraId="59E44DEF" w14:textId="77777777" w:rsidR="006D7F34" w:rsidRPr="00614FFD" w:rsidRDefault="006D7F34" w:rsidP="00494032">
            <w:pPr>
              <w:rPr>
                <w:rFonts w:ascii="Arial" w:hAnsi="Arial" w:cs="Arial"/>
                <w:b/>
                <w:bCs/>
                <w:color w:val="000000"/>
                <w:sz w:val="22"/>
                <w:szCs w:val="22"/>
              </w:rPr>
            </w:pPr>
          </w:p>
        </w:tc>
      </w:tr>
      <w:tr w:rsidR="006D7F34" w:rsidRPr="00614FFD" w14:paraId="58756C2B" w14:textId="77777777" w:rsidTr="00494032">
        <w:trPr>
          <w:trHeight w:val="840"/>
        </w:trPr>
        <w:tc>
          <w:tcPr>
            <w:tcW w:w="7380" w:type="dxa"/>
            <w:tcBorders>
              <w:top w:val="nil"/>
              <w:left w:val="nil"/>
              <w:bottom w:val="nil"/>
              <w:right w:val="nil"/>
            </w:tcBorders>
            <w:shd w:val="clear" w:color="auto" w:fill="auto"/>
            <w:vAlign w:val="bottom"/>
            <w:hideMark/>
          </w:tcPr>
          <w:p w14:paraId="4C9BFABA"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 xml:space="preserve">5% HS/GED, 50% BA, 30% MA, 15% MD/PhD/JD &amp; HHI: 10% NR, 5% $20-$40K, 10% $40-$60K, 10% $60-$100K, 15% $100-$125K, 15% $125-$150K, 5% $150-$200K, 30% ≥$200K </w:t>
            </w:r>
          </w:p>
        </w:tc>
        <w:tc>
          <w:tcPr>
            <w:tcW w:w="3019" w:type="dxa"/>
            <w:tcBorders>
              <w:top w:val="nil"/>
              <w:left w:val="nil"/>
              <w:bottom w:val="nil"/>
              <w:right w:val="nil"/>
            </w:tcBorders>
            <w:shd w:val="clear" w:color="auto" w:fill="auto"/>
            <w:noWrap/>
            <w:vAlign w:val="bottom"/>
            <w:hideMark/>
          </w:tcPr>
          <w:p w14:paraId="16EE8BC9"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Hart &amp; Curtin (2021)</w:t>
            </w:r>
          </w:p>
        </w:tc>
      </w:tr>
      <w:tr w:rsidR="006D7F34" w:rsidRPr="00614FFD" w14:paraId="6DEF9343" w14:textId="77777777" w:rsidTr="00494032">
        <w:trPr>
          <w:trHeight w:val="280"/>
        </w:trPr>
        <w:tc>
          <w:tcPr>
            <w:tcW w:w="7380" w:type="dxa"/>
            <w:tcBorders>
              <w:top w:val="nil"/>
              <w:left w:val="nil"/>
              <w:bottom w:val="nil"/>
              <w:right w:val="nil"/>
            </w:tcBorders>
            <w:shd w:val="clear" w:color="auto" w:fill="auto"/>
            <w:vAlign w:val="bottom"/>
            <w:hideMark/>
          </w:tcPr>
          <w:p w14:paraId="2BC398C5"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34.6% &gt;$80K CAD, 42.6% &amp; 38.5% partners BA or higher</w:t>
            </w:r>
          </w:p>
        </w:tc>
        <w:tc>
          <w:tcPr>
            <w:tcW w:w="3019" w:type="dxa"/>
            <w:tcBorders>
              <w:top w:val="nil"/>
              <w:left w:val="nil"/>
              <w:bottom w:val="nil"/>
              <w:right w:val="nil"/>
            </w:tcBorders>
            <w:shd w:val="clear" w:color="auto" w:fill="auto"/>
            <w:noWrap/>
            <w:vAlign w:val="bottom"/>
            <w:hideMark/>
          </w:tcPr>
          <w:p w14:paraId="09C88DAB"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Bennett et al. (2014)</w:t>
            </w:r>
          </w:p>
        </w:tc>
      </w:tr>
      <w:tr w:rsidR="006D7F34" w:rsidRPr="00614FFD" w14:paraId="55584481" w14:textId="77777777" w:rsidTr="00494032">
        <w:trPr>
          <w:trHeight w:val="560"/>
        </w:trPr>
        <w:tc>
          <w:tcPr>
            <w:tcW w:w="7380" w:type="dxa"/>
            <w:tcBorders>
              <w:top w:val="nil"/>
              <w:left w:val="nil"/>
              <w:bottom w:val="nil"/>
              <w:right w:val="nil"/>
            </w:tcBorders>
            <w:shd w:val="clear" w:color="auto" w:fill="auto"/>
            <w:vAlign w:val="bottom"/>
            <w:hideMark/>
          </w:tcPr>
          <w:p w14:paraId="1AF16FBF"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21%: &lt; $50K, 37%: $51-100K, 42%: $100K+; no college: 45%, college: 32%, graduate: 23%</w:t>
            </w:r>
          </w:p>
        </w:tc>
        <w:tc>
          <w:tcPr>
            <w:tcW w:w="3019" w:type="dxa"/>
            <w:tcBorders>
              <w:top w:val="nil"/>
              <w:left w:val="nil"/>
              <w:bottom w:val="nil"/>
              <w:right w:val="nil"/>
            </w:tcBorders>
            <w:shd w:val="clear" w:color="auto" w:fill="auto"/>
            <w:noWrap/>
            <w:vAlign w:val="bottom"/>
            <w:hideMark/>
          </w:tcPr>
          <w:p w14:paraId="3B58B659"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Gagnon et al. (2021)</w:t>
            </w:r>
          </w:p>
        </w:tc>
      </w:tr>
      <w:tr w:rsidR="006D7F34" w:rsidRPr="00614FFD" w14:paraId="52C8B84D" w14:textId="77777777" w:rsidTr="00494032">
        <w:trPr>
          <w:trHeight w:val="520"/>
        </w:trPr>
        <w:tc>
          <w:tcPr>
            <w:tcW w:w="7380" w:type="dxa"/>
            <w:tcBorders>
              <w:top w:val="nil"/>
              <w:left w:val="nil"/>
              <w:bottom w:val="nil"/>
              <w:right w:val="nil"/>
            </w:tcBorders>
            <w:shd w:val="clear" w:color="auto" w:fill="auto"/>
            <w:vAlign w:val="bottom"/>
            <w:hideMark/>
          </w:tcPr>
          <w:p w14:paraId="3648F057"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1% &lt;$20K, 9% $20-39K, 9% $40-59K, 12% $60-79K, 40% &gt;$80K, 28%: not reported; 18% HS, 12% AS, 34% BA, 18% MA, 6% PhD, 12% not reported</w:t>
            </w:r>
          </w:p>
        </w:tc>
        <w:tc>
          <w:tcPr>
            <w:tcW w:w="3019" w:type="dxa"/>
            <w:tcBorders>
              <w:top w:val="nil"/>
              <w:left w:val="nil"/>
              <w:bottom w:val="nil"/>
              <w:right w:val="nil"/>
            </w:tcBorders>
            <w:shd w:val="clear" w:color="auto" w:fill="auto"/>
            <w:noWrap/>
            <w:vAlign w:val="bottom"/>
            <w:hideMark/>
          </w:tcPr>
          <w:p w14:paraId="27390D87"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Klusek et al. (2014)</w:t>
            </w:r>
          </w:p>
        </w:tc>
      </w:tr>
      <w:tr w:rsidR="006D7F34" w:rsidRPr="00614FFD" w14:paraId="685D96B1" w14:textId="77777777" w:rsidTr="00494032">
        <w:trPr>
          <w:trHeight w:val="260"/>
        </w:trPr>
        <w:tc>
          <w:tcPr>
            <w:tcW w:w="7380" w:type="dxa"/>
            <w:tcBorders>
              <w:top w:val="nil"/>
              <w:left w:val="nil"/>
              <w:bottom w:val="nil"/>
              <w:right w:val="nil"/>
            </w:tcBorders>
            <w:shd w:val="clear" w:color="auto" w:fill="auto"/>
            <w:noWrap/>
            <w:vAlign w:val="bottom"/>
            <w:hideMark/>
          </w:tcPr>
          <w:p w14:paraId="79534E04" w14:textId="77777777" w:rsidR="006D7F34" w:rsidRPr="00614FFD" w:rsidRDefault="006D7F34" w:rsidP="00494032">
            <w:pPr>
              <w:rPr>
                <w:rFonts w:ascii="Arial" w:hAnsi="Arial" w:cs="Arial"/>
                <w:b/>
                <w:bCs/>
                <w:color w:val="000000"/>
                <w:sz w:val="22"/>
                <w:szCs w:val="22"/>
              </w:rPr>
            </w:pPr>
            <w:r w:rsidRPr="00614FFD">
              <w:rPr>
                <w:rFonts w:ascii="Arial" w:hAnsi="Arial" w:cs="Arial"/>
                <w:b/>
                <w:bCs/>
                <w:color w:val="000000"/>
                <w:sz w:val="22"/>
                <w:szCs w:val="22"/>
              </w:rPr>
              <w:t xml:space="preserve">Reported Maternal Level of Education </w:t>
            </w:r>
          </w:p>
        </w:tc>
        <w:tc>
          <w:tcPr>
            <w:tcW w:w="3019" w:type="dxa"/>
            <w:tcBorders>
              <w:top w:val="nil"/>
              <w:left w:val="nil"/>
              <w:bottom w:val="nil"/>
              <w:right w:val="nil"/>
            </w:tcBorders>
            <w:shd w:val="clear" w:color="auto" w:fill="auto"/>
            <w:noWrap/>
            <w:vAlign w:val="bottom"/>
            <w:hideMark/>
          </w:tcPr>
          <w:p w14:paraId="0BE4ECD0" w14:textId="77777777" w:rsidR="006D7F34" w:rsidRPr="00614FFD" w:rsidRDefault="006D7F34" w:rsidP="00494032">
            <w:pPr>
              <w:rPr>
                <w:rFonts w:ascii="Arial" w:hAnsi="Arial" w:cs="Arial"/>
                <w:b/>
                <w:bCs/>
                <w:color w:val="000000"/>
                <w:sz w:val="22"/>
                <w:szCs w:val="22"/>
              </w:rPr>
            </w:pPr>
          </w:p>
        </w:tc>
      </w:tr>
      <w:tr w:rsidR="006D7F34" w:rsidRPr="00614FFD" w14:paraId="0314E70A" w14:textId="77777777" w:rsidTr="00494032">
        <w:trPr>
          <w:trHeight w:val="260"/>
        </w:trPr>
        <w:tc>
          <w:tcPr>
            <w:tcW w:w="7380" w:type="dxa"/>
            <w:tcBorders>
              <w:top w:val="nil"/>
              <w:left w:val="nil"/>
              <w:bottom w:val="nil"/>
              <w:right w:val="nil"/>
            </w:tcBorders>
            <w:shd w:val="clear" w:color="auto" w:fill="auto"/>
            <w:noWrap/>
            <w:vAlign w:val="bottom"/>
            <w:hideMark/>
          </w:tcPr>
          <w:p w14:paraId="696AE7CE"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15% NR, 46% HS, 8% AS, 15% BA, 15% MA</w:t>
            </w:r>
          </w:p>
        </w:tc>
        <w:tc>
          <w:tcPr>
            <w:tcW w:w="3019" w:type="dxa"/>
            <w:tcBorders>
              <w:top w:val="nil"/>
              <w:left w:val="nil"/>
              <w:bottom w:val="nil"/>
              <w:right w:val="nil"/>
            </w:tcBorders>
            <w:shd w:val="clear" w:color="auto" w:fill="auto"/>
            <w:noWrap/>
            <w:vAlign w:val="bottom"/>
            <w:hideMark/>
          </w:tcPr>
          <w:p w14:paraId="454BAC11"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Girolamo &amp; Rice (2022)</w:t>
            </w:r>
          </w:p>
        </w:tc>
      </w:tr>
      <w:tr w:rsidR="006D7F34" w:rsidRPr="00614FFD" w14:paraId="0C6DDA45" w14:textId="77777777" w:rsidTr="00494032">
        <w:trPr>
          <w:trHeight w:val="260"/>
        </w:trPr>
        <w:tc>
          <w:tcPr>
            <w:tcW w:w="7380" w:type="dxa"/>
            <w:tcBorders>
              <w:top w:val="nil"/>
              <w:left w:val="nil"/>
              <w:bottom w:val="nil"/>
              <w:right w:val="nil"/>
            </w:tcBorders>
            <w:shd w:val="clear" w:color="auto" w:fill="auto"/>
            <w:noWrap/>
            <w:vAlign w:val="center"/>
            <w:hideMark/>
          </w:tcPr>
          <w:p w14:paraId="53F01C76"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≤12 years: 33%, 13-16 years: 53%, 17-20 years: 14%</w:t>
            </w:r>
          </w:p>
        </w:tc>
        <w:tc>
          <w:tcPr>
            <w:tcW w:w="3019" w:type="dxa"/>
            <w:tcBorders>
              <w:top w:val="nil"/>
              <w:left w:val="nil"/>
              <w:bottom w:val="nil"/>
              <w:right w:val="nil"/>
            </w:tcBorders>
            <w:shd w:val="clear" w:color="auto" w:fill="auto"/>
            <w:noWrap/>
            <w:vAlign w:val="bottom"/>
            <w:hideMark/>
          </w:tcPr>
          <w:p w14:paraId="3D80ACB1"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Prescott &amp; Ellis Weismer (2022)</w:t>
            </w:r>
          </w:p>
        </w:tc>
      </w:tr>
      <w:tr w:rsidR="006D7F34" w:rsidRPr="00614FFD" w14:paraId="3786D33C" w14:textId="77777777" w:rsidTr="00494032">
        <w:trPr>
          <w:trHeight w:val="260"/>
        </w:trPr>
        <w:tc>
          <w:tcPr>
            <w:tcW w:w="7380" w:type="dxa"/>
            <w:tcBorders>
              <w:top w:val="nil"/>
              <w:left w:val="nil"/>
              <w:bottom w:val="nil"/>
              <w:right w:val="nil"/>
            </w:tcBorders>
            <w:shd w:val="clear" w:color="auto" w:fill="auto"/>
            <w:noWrap/>
            <w:vAlign w:val="bottom"/>
            <w:hideMark/>
          </w:tcPr>
          <w:p w14:paraId="6D5B45FB"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lastRenderedPageBreak/>
              <w:t>BA or higher: 37%-63%</w:t>
            </w:r>
          </w:p>
        </w:tc>
        <w:tc>
          <w:tcPr>
            <w:tcW w:w="3019" w:type="dxa"/>
            <w:tcBorders>
              <w:top w:val="nil"/>
              <w:left w:val="nil"/>
              <w:bottom w:val="nil"/>
              <w:right w:val="nil"/>
            </w:tcBorders>
            <w:shd w:val="clear" w:color="auto" w:fill="auto"/>
            <w:noWrap/>
            <w:vAlign w:val="bottom"/>
            <w:hideMark/>
          </w:tcPr>
          <w:p w14:paraId="6198A1DF"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Bal et al. (2020)</w:t>
            </w:r>
          </w:p>
        </w:tc>
      </w:tr>
      <w:tr w:rsidR="006D7F34" w:rsidRPr="00614FFD" w14:paraId="2F1803E7" w14:textId="77777777" w:rsidTr="00494032">
        <w:trPr>
          <w:trHeight w:val="560"/>
        </w:trPr>
        <w:tc>
          <w:tcPr>
            <w:tcW w:w="7380" w:type="dxa"/>
            <w:tcBorders>
              <w:top w:val="nil"/>
              <w:left w:val="nil"/>
              <w:bottom w:val="nil"/>
              <w:right w:val="nil"/>
            </w:tcBorders>
            <w:shd w:val="clear" w:color="auto" w:fill="auto"/>
            <w:vAlign w:val="bottom"/>
            <w:hideMark/>
          </w:tcPr>
          <w:p w14:paraId="4A627BDD"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4% some HS, 14% HS, post-HS 5%, some college 26%, college 18%, postgraduate 8%, DK 26%</w:t>
            </w:r>
          </w:p>
        </w:tc>
        <w:tc>
          <w:tcPr>
            <w:tcW w:w="3019" w:type="dxa"/>
            <w:tcBorders>
              <w:top w:val="nil"/>
              <w:left w:val="nil"/>
              <w:bottom w:val="nil"/>
              <w:right w:val="nil"/>
            </w:tcBorders>
            <w:shd w:val="clear" w:color="auto" w:fill="auto"/>
            <w:noWrap/>
            <w:vAlign w:val="bottom"/>
            <w:hideMark/>
          </w:tcPr>
          <w:p w14:paraId="3F36A9AC"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Nevill et al. (2019)</w:t>
            </w:r>
          </w:p>
        </w:tc>
      </w:tr>
      <w:tr w:rsidR="006D7F34" w:rsidRPr="00614FFD" w14:paraId="0E8D3A5F" w14:textId="77777777" w:rsidTr="00494032">
        <w:trPr>
          <w:trHeight w:val="560"/>
        </w:trPr>
        <w:tc>
          <w:tcPr>
            <w:tcW w:w="7380" w:type="dxa"/>
            <w:tcBorders>
              <w:top w:val="nil"/>
              <w:left w:val="nil"/>
              <w:bottom w:val="nil"/>
              <w:right w:val="nil"/>
            </w:tcBorders>
            <w:shd w:val="clear" w:color="auto" w:fill="auto"/>
            <w:vAlign w:val="bottom"/>
            <w:hideMark/>
          </w:tcPr>
          <w:p w14:paraId="475A7548"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2% &lt;8th grade, 5% some HS, 16% HS, 20% some college, 25% BA, 30% advanced degree, 2% don't know</w:t>
            </w:r>
          </w:p>
        </w:tc>
        <w:tc>
          <w:tcPr>
            <w:tcW w:w="3019" w:type="dxa"/>
            <w:tcBorders>
              <w:top w:val="nil"/>
              <w:left w:val="nil"/>
              <w:bottom w:val="nil"/>
              <w:right w:val="nil"/>
            </w:tcBorders>
            <w:shd w:val="clear" w:color="auto" w:fill="auto"/>
            <w:noWrap/>
            <w:vAlign w:val="bottom"/>
            <w:hideMark/>
          </w:tcPr>
          <w:p w14:paraId="7452261E"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Reinhartsen et al. (2019)</w:t>
            </w:r>
          </w:p>
        </w:tc>
      </w:tr>
      <w:tr w:rsidR="006D7F34" w:rsidRPr="00614FFD" w14:paraId="7D5A244E" w14:textId="77777777" w:rsidTr="00494032">
        <w:trPr>
          <w:trHeight w:val="280"/>
        </w:trPr>
        <w:tc>
          <w:tcPr>
            <w:tcW w:w="7380" w:type="dxa"/>
            <w:tcBorders>
              <w:top w:val="nil"/>
              <w:left w:val="nil"/>
              <w:bottom w:val="nil"/>
              <w:right w:val="nil"/>
            </w:tcBorders>
            <w:shd w:val="clear" w:color="auto" w:fill="auto"/>
            <w:vAlign w:val="bottom"/>
            <w:hideMark/>
          </w:tcPr>
          <w:p w14:paraId="5B051086"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HS 8%, some college 25%, BA 31%, graduate 38%</w:t>
            </w:r>
          </w:p>
        </w:tc>
        <w:tc>
          <w:tcPr>
            <w:tcW w:w="3019" w:type="dxa"/>
            <w:tcBorders>
              <w:top w:val="nil"/>
              <w:left w:val="nil"/>
              <w:bottom w:val="nil"/>
              <w:right w:val="nil"/>
            </w:tcBorders>
            <w:shd w:val="clear" w:color="auto" w:fill="auto"/>
            <w:noWrap/>
            <w:vAlign w:val="bottom"/>
            <w:hideMark/>
          </w:tcPr>
          <w:p w14:paraId="6C57BF7E"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Haebig &amp; Sterling (2017)</w:t>
            </w:r>
          </w:p>
        </w:tc>
      </w:tr>
      <w:tr w:rsidR="006D7F34" w:rsidRPr="00614FFD" w14:paraId="313295D7" w14:textId="77777777" w:rsidTr="00494032">
        <w:trPr>
          <w:trHeight w:val="260"/>
        </w:trPr>
        <w:tc>
          <w:tcPr>
            <w:tcW w:w="7380" w:type="dxa"/>
            <w:tcBorders>
              <w:top w:val="nil"/>
              <w:left w:val="nil"/>
              <w:bottom w:val="nil"/>
              <w:right w:val="nil"/>
            </w:tcBorders>
            <w:shd w:val="clear" w:color="auto" w:fill="auto"/>
            <w:noWrap/>
            <w:vAlign w:val="bottom"/>
            <w:hideMark/>
          </w:tcPr>
          <w:p w14:paraId="062FB4F5"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13 years (11)</w:t>
            </w:r>
          </w:p>
        </w:tc>
        <w:tc>
          <w:tcPr>
            <w:tcW w:w="3019" w:type="dxa"/>
            <w:tcBorders>
              <w:top w:val="nil"/>
              <w:left w:val="nil"/>
              <w:bottom w:val="nil"/>
              <w:right w:val="nil"/>
            </w:tcBorders>
            <w:shd w:val="clear" w:color="auto" w:fill="auto"/>
            <w:noWrap/>
            <w:vAlign w:val="bottom"/>
            <w:hideMark/>
          </w:tcPr>
          <w:p w14:paraId="6F3DCEC7"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Ellawadi &amp; Ellis Weismer (2015)</w:t>
            </w:r>
          </w:p>
        </w:tc>
      </w:tr>
      <w:tr w:rsidR="006D7F34" w:rsidRPr="00614FFD" w14:paraId="5BCD8F86" w14:textId="77777777" w:rsidTr="00494032">
        <w:trPr>
          <w:trHeight w:val="260"/>
        </w:trPr>
        <w:tc>
          <w:tcPr>
            <w:tcW w:w="7380" w:type="dxa"/>
            <w:tcBorders>
              <w:top w:val="nil"/>
              <w:left w:val="nil"/>
              <w:bottom w:val="nil"/>
              <w:right w:val="nil"/>
            </w:tcBorders>
            <w:shd w:val="clear" w:color="auto" w:fill="auto"/>
            <w:noWrap/>
            <w:vAlign w:val="bottom"/>
            <w:hideMark/>
          </w:tcPr>
          <w:p w14:paraId="7CAB2228"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14 years (2)</w:t>
            </w:r>
          </w:p>
        </w:tc>
        <w:tc>
          <w:tcPr>
            <w:tcW w:w="3019" w:type="dxa"/>
            <w:tcBorders>
              <w:top w:val="nil"/>
              <w:left w:val="nil"/>
              <w:bottom w:val="nil"/>
              <w:right w:val="nil"/>
            </w:tcBorders>
            <w:shd w:val="clear" w:color="auto" w:fill="auto"/>
            <w:noWrap/>
            <w:vAlign w:val="bottom"/>
            <w:hideMark/>
          </w:tcPr>
          <w:p w14:paraId="4C4A5C8E"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Ellis Weismer &amp; Kover (2015)</w:t>
            </w:r>
          </w:p>
        </w:tc>
      </w:tr>
      <w:tr w:rsidR="006D7F34" w:rsidRPr="00614FFD" w14:paraId="40DDEC7B" w14:textId="77777777" w:rsidTr="00494032">
        <w:trPr>
          <w:trHeight w:val="280"/>
        </w:trPr>
        <w:tc>
          <w:tcPr>
            <w:tcW w:w="7380" w:type="dxa"/>
            <w:tcBorders>
              <w:top w:val="nil"/>
              <w:left w:val="nil"/>
              <w:bottom w:val="nil"/>
              <w:right w:val="nil"/>
            </w:tcBorders>
            <w:shd w:val="clear" w:color="auto" w:fill="auto"/>
            <w:vAlign w:val="bottom"/>
            <w:hideMark/>
          </w:tcPr>
          <w:p w14:paraId="7807DCA5"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ALI: 15.7 years (2.8), ASD: 16.8 years (3.2)</w:t>
            </w:r>
          </w:p>
        </w:tc>
        <w:tc>
          <w:tcPr>
            <w:tcW w:w="3019" w:type="dxa"/>
            <w:tcBorders>
              <w:top w:val="nil"/>
              <w:left w:val="nil"/>
              <w:bottom w:val="nil"/>
              <w:right w:val="nil"/>
            </w:tcBorders>
            <w:shd w:val="clear" w:color="auto" w:fill="auto"/>
            <w:noWrap/>
            <w:vAlign w:val="bottom"/>
            <w:hideMark/>
          </w:tcPr>
          <w:p w14:paraId="60A8A565"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McGregor et al. (2012)</w:t>
            </w:r>
          </w:p>
        </w:tc>
      </w:tr>
      <w:tr w:rsidR="006D7F34" w:rsidRPr="00614FFD" w14:paraId="7500BC6A" w14:textId="77777777" w:rsidTr="00494032">
        <w:trPr>
          <w:trHeight w:val="260"/>
        </w:trPr>
        <w:tc>
          <w:tcPr>
            <w:tcW w:w="7380" w:type="dxa"/>
            <w:tcBorders>
              <w:top w:val="nil"/>
              <w:left w:val="nil"/>
              <w:bottom w:val="nil"/>
              <w:right w:val="nil"/>
            </w:tcBorders>
            <w:shd w:val="clear" w:color="auto" w:fill="auto"/>
            <w:noWrap/>
            <w:vAlign w:val="bottom"/>
            <w:hideMark/>
          </w:tcPr>
          <w:p w14:paraId="1CC60DE4"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15 years (2, 12-19)</w:t>
            </w:r>
          </w:p>
        </w:tc>
        <w:tc>
          <w:tcPr>
            <w:tcW w:w="3019" w:type="dxa"/>
            <w:tcBorders>
              <w:top w:val="nil"/>
              <w:left w:val="nil"/>
              <w:bottom w:val="nil"/>
              <w:right w:val="nil"/>
            </w:tcBorders>
            <w:shd w:val="clear" w:color="auto" w:fill="auto"/>
            <w:noWrap/>
            <w:vAlign w:val="bottom"/>
            <w:hideMark/>
          </w:tcPr>
          <w:p w14:paraId="750FAA2F"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Ellis Weismer et al. (2011)</w:t>
            </w:r>
          </w:p>
        </w:tc>
      </w:tr>
      <w:tr w:rsidR="006D7F34" w:rsidRPr="00614FFD" w14:paraId="3B92EC04" w14:textId="77777777" w:rsidTr="00494032">
        <w:trPr>
          <w:trHeight w:val="260"/>
        </w:trPr>
        <w:tc>
          <w:tcPr>
            <w:tcW w:w="7380" w:type="dxa"/>
            <w:tcBorders>
              <w:top w:val="nil"/>
              <w:left w:val="nil"/>
              <w:bottom w:val="nil"/>
              <w:right w:val="nil"/>
            </w:tcBorders>
            <w:shd w:val="clear" w:color="auto" w:fill="auto"/>
            <w:vAlign w:val="bottom"/>
            <w:hideMark/>
          </w:tcPr>
          <w:p w14:paraId="38492BB7"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10% &lt; HS, 27% HS, 26% some college, 19% college, 18% postgraduate</w:t>
            </w:r>
          </w:p>
        </w:tc>
        <w:tc>
          <w:tcPr>
            <w:tcW w:w="3019" w:type="dxa"/>
            <w:tcBorders>
              <w:top w:val="nil"/>
              <w:left w:val="nil"/>
              <w:bottom w:val="nil"/>
              <w:right w:val="nil"/>
            </w:tcBorders>
            <w:shd w:val="clear" w:color="auto" w:fill="auto"/>
            <w:noWrap/>
            <w:vAlign w:val="bottom"/>
            <w:hideMark/>
          </w:tcPr>
          <w:p w14:paraId="6A1ED309"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Luyster et al. (2007)</w:t>
            </w:r>
          </w:p>
        </w:tc>
      </w:tr>
      <w:tr w:rsidR="006D7F34" w:rsidRPr="00614FFD" w14:paraId="63C43E9B" w14:textId="77777777" w:rsidTr="00494032">
        <w:trPr>
          <w:trHeight w:val="280"/>
        </w:trPr>
        <w:tc>
          <w:tcPr>
            <w:tcW w:w="7380" w:type="dxa"/>
            <w:tcBorders>
              <w:top w:val="nil"/>
              <w:left w:val="nil"/>
              <w:bottom w:val="nil"/>
              <w:right w:val="nil"/>
            </w:tcBorders>
            <w:shd w:val="clear" w:color="auto" w:fill="auto"/>
            <w:vAlign w:val="bottom"/>
            <w:hideMark/>
          </w:tcPr>
          <w:p w14:paraId="0E7536F0"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12-15 years: 20%, &gt;16 years: 80%</w:t>
            </w:r>
          </w:p>
        </w:tc>
        <w:tc>
          <w:tcPr>
            <w:tcW w:w="3019" w:type="dxa"/>
            <w:tcBorders>
              <w:top w:val="nil"/>
              <w:left w:val="nil"/>
              <w:bottom w:val="nil"/>
              <w:right w:val="nil"/>
            </w:tcBorders>
            <w:shd w:val="clear" w:color="auto" w:fill="auto"/>
            <w:noWrap/>
            <w:vAlign w:val="bottom"/>
            <w:hideMark/>
          </w:tcPr>
          <w:p w14:paraId="41C954BA"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Condouris et al. (2003)</w:t>
            </w:r>
          </w:p>
        </w:tc>
      </w:tr>
      <w:tr w:rsidR="006D7F34" w:rsidRPr="00614FFD" w14:paraId="574C79F8" w14:textId="77777777" w:rsidTr="00494032">
        <w:trPr>
          <w:trHeight w:val="260"/>
        </w:trPr>
        <w:tc>
          <w:tcPr>
            <w:tcW w:w="7380" w:type="dxa"/>
            <w:tcBorders>
              <w:top w:val="nil"/>
              <w:left w:val="nil"/>
              <w:bottom w:val="nil"/>
              <w:right w:val="nil"/>
            </w:tcBorders>
            <w:shd w:val="clear" w:color="auto" w:fill="auto"/>
            <w:noWrap/>
            <w:vAlign w:val="bottom"/>
            <w:hideMark/>
          </w:tcPr>
          <w:p w14:paraId="7AA2B4BE" w14:textId="77777777" w:rsidR="006D7F34" w:rsidRPr="00614FFD" w:rsidRDefault="006D7F34" w:rsidP="00494032">
            <w:pPr>
              <w:rPr>
                <w:rFonts w:ascii="Arial" w:hAnsi="Arial" w:cs="Arial"/>
                <w:b/>
                <w:bCs/>
                <w:color w:val="000000"/>
                <w:sz w:val="22"/>
                <w:szCs w:val="22"/>
              </w:rPr>
            </w:pPr>
            <w:r w:rsidRPr="00614FFD">
              <w:rPr>
                <w:rFonts w:ascii="Arial" w:hAnsi="Arial" w:cs="Arial"/>
                <w:b/>
                <w:bCs/>
                <w:color w:val="000000"/>
                <w:sz w:val="22"/>
                <w:szCs w:val="22"/>
              </w:rPr>
              <w:t>Reported Parental Level of Education</w:t>
            </w:r>
          </w:p>
        </w:tc>
        <w:tc>
          <w:tcPr>
            <w:tcW w:w="3019" w:type="dxa"/>
            <w:tcBorders>
              <w:top w:val="nil"/>
              <w:left w:val="nil"/>
              <w:bottom w:val="nil"/>
              <w:right w:val="nil"/>
            </w:tcBorders>
            <w:shd w:val="clear" w:color="auto" w:fill="auto"/>
            <w:noWrap/>
            <w:vAlign w:val="bottom"/>
            <w:hideMark/>
          </w:tcPr>
          <w:p w14:paraId="4EFCE791" w14:textId="77777777" w:rsidR="006D7F34" w:rsidRPr="00614FFD" w:rsidRDefault="006D7F34" w:rsidP="00494032">
            <w:pPr>
              <w:rPr>
                <w:rFonts w:ascii="Arial" w:hAnsi="Arial" w:cs="Arial"/>
                <w:b/>
                <w:bCs/>
                <w:color w:val="000000"/>
                <w:sz w:val="22"/>
                <w:szCs w:val="22"/>
              </w:rPr>
            </w:pPr>
          </w:p>
        </w:tc>
      </w:tr>
      <w:tr w:rsidR="006D7F34" w:rsidRPr="00614FFD" w14:paraId="2407AA2D" w14:textId="77777777" w:rsidTr="00494032">
        <w:trPr>
          <w:trHeight w:val="280"/>
        </w:trPr>
        <w:tc>
          <w:tcPr>
            <w:tcW w:w="7380" w:type="dxa"/>
            <w:tcBorders>
              <w:top w:val="nil"/>
              <w:left w:val="nil"/>
              <w:bottom w:val="nil"/>
              <w:right w:val="nil"/>
            </w:tcBorders>
            <w:shd w:val="clear" w:color="auto" w:fill="auto"/>
            <w:vAlign w:val="bottom"/>
            <w:hideMark/>
          </w:tcPr>
          <w:p w14:paraId="2BF00632"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41% HS; 30% college, 30% postgraduate</w:t>
            </w:r>
          </w:p>
        </w:tc>
        <w:tc>
          <w:tcPr>
            <w:tcW w:w="3019" w:type="dxa"/>
            <w:tcBorders>
              <w:top w:val="nil"/>
              <w:left w:val="nil"/>
              <w:bottom w:val="nil"/>
              <w:right w:val="nil"/>
            </w:tcBorders>
            <w:shd w:val="clear" w:color="auto" w:fill="auto"/>
            <w:noWrap/>
            <w:vAlign w:val="bottom"/>
            <w:hideMark/>
          </w:tcPr>
          <w:p w14:paraId="322A839B"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Saul &amp; Norbury (2020)</w:t>
            </w:r>
          </w:p>
        </w:tc>
      </w:tr>
      <w:tr w:rsidR="006D7F34" w:rsidRPr="00614FFD" w14:paraId="357B30B5" w14:textId="77777777" w:rsidTr="00494032">
        <w:trPr>
          <w:trHeight w:val="560"/>
        </w:trPr>
        <w:tc>
          <w:tcPr>
            <w:tcW w:w="7380" w:type="dxa"/>
            <w:tcBorders>
              <w:top w:val="nil"/>
              <w:left w:val="nil"/>
              <w:bottom w:val="nil"/>
              <w:right w:val="nil"/>
            </w:tcBorders>
            <w:shd w:val="clear" w:color="auto" w:fill="auto"/>
            <w:vAlign w:val="bottom"/>
            <w:hideMark/>
          </w:tcPr>
          <w:p w14:paraId="55184428"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4% HS, 8% some college, 20% AS, 20% BA, 8% some graduate, 20% postgraduate, 20% not reported</w:t>
            </w:r>
          </w:p>
        </w:tc>
        <w:tc>
          <w:tcPr>
            <w:tcW w:w="3019" w:type="dxa"/>
            <w:tcBorders>
              <w:top w:val="nil"/>
              <w:left w:val="nil"/>
              <w:bottom w:val="nil"/>
              <w:right w:val="nil"/>
            </w:tcBorders>
            <w:shd w:val="clear" w:color="auto" w:fill="auto"/>
            <w:noWrap/>
            <w:vAlign w:val="bottom"/>
            <w:hideMark/>
          </w:tcPr>
          <w:p w14:paraId="1EFB9B22"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Thurman &amp; Hoyos (2020)</w:t>
            </w:r>
          </w:p>
        </w:tc>
      </w:tr>
      <w:tr w:rsidR="006D7F34" w:rsidRPr="00614FFD" w14:paraId="5E51DCF2" w14:textId="77777777" w:rsidTr="00494032">
        <w:trPr>
          <w:trHeight w:val="280"/>
        </w:trPr>
        <w:tc>
          <w:tcPr>
            <w:tcW w:w="7380" w:type="dxa"/>
            <w:tcBorders>
              <w:top w:val="nil"/>
              <w:left w:val="nil"/>
              <w:bottom w:val="nil"/>
              <w:right w:val="nil"/>
            </w:tcBorders>
            <w:shd w:val="clear" w:color="auto" w:fill="auto"/>
            <w:vAlign w:val="bottom"/>
            <w:hideMark/>
          </w:tcPr>
          <w:p w14:paraId="520862EC"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5% &lt; HS, 22% HS, 24% some college, 32% college, 17% postgraduate</w:t>
            </w:r>
          </w:p>
        </w:tc>
        <w:tc>
          <w:tcPr>
            <w:tcW w:w="3019" w:type="dxa"/>
            <w:tcBorders>
              <w:top w:val="nil"/>
              <w:left w:val="nil"/>
              <w:bottom w:val="nil"/>
              <w:right w:val="nil"/>
            </w:tcBorders>
            <w:shd w:val="clear" w:color="auto" w:fill="auto"/>
            <w:noWrap/>
            <w:vAlign w:val="bottom"/>
            <w:hideMark/>
          </w:tcPr>
          <w:p w14:paraId="26C7E967"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Woynaroski et al. (2016)</w:t>
            </w:r>
          </w:p>
        </w:tc>
      </w:tr>
      <w:tr w:rsidR="006D7F34" w:rsidRPr="00614FFD" w14:paraId="2E74140D" w14:textId="77777777" w:rsidTr="00494032">
        <w:trPr>
          <w:trHeight w:val="280"/>
        </w:trPr>
        <w:tc>
          <w:tcPr>
            <w:tcW w:w="7380" w:type="dxa"/>
            <w:tcBorders>
              <w:top w:val="nil"/>
              <w:left w:val="nil"/>
              <w:bottom w:val="nil"/>
              <w:right w:val="nil"/>
            </w:tcBorders>
            <w:shd w:val="clear" w:color="auto" w:fill="auto"/>
            <w:vAlign w:val="bottom"/>
            <w:hideMark/>
          </w:tcPr>
          <w:p w14:paraId="05962987"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 xml:space="preserve"> Hollingshead LE: ASD 6.5 (0.5), ALI 5.2 (1.0)</w:t>
            </w:r>
          </w:p>
        </w:tc>
        <w:tc>
          <w:tcPr>
            <w:tcW w:w="3019" w:type="dxa"/>
            <w:tcBorders>
              <w:top w:val="nil"/>
              <w:left w:val="nil"/>
              <w:bottom w:val="nil"/>
              <w:right w:val="nil"/>
            </w:tcBorders>
            <w:shd w:val="clear" w:color="auto" w:fill="auto"/>
            <w:noWrap/>
            <w:vAlign w:val="bottom"/>
            <w:hideMark/>
          </w:tcPr>
          <w:p w14:paraId="6CC3CBF3"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Lindgren et al. (2009)</w:t>
            </w:r>
          </w:p>
        </w:tc>
      </w:tr>
      <w:tr w:rsidR="006D7F34" w:rsidRPr="00614FFD" w14:paraId="323FF2E7" w14:textId="77777777" w:rsidTr="00494032">
        <w:trPr>
          <w:trHeight w:val="260"/>
        </w:trPr>
        <w:tc>
          <w:tcPr>
            <w:tcW w:w="7380" w:type="dxa"/>
            <w:tcBorders>
              <w:top w:val="nil"/>
              <w:left w:val="nil"/>
              <w:bottom w:val="nil"/>
              <w:right w:val="nil"/>
            </w:tcBorders>
            <w:shd w:val="clear" w:color="auto" w:fill="auto"/>
            <w:noWrap/>
            <w:vAlign w:val="bottom"/>
            <w:hideMark/>
          </w:tcPr>
          <w:p w14:paraId="36320A6B"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98% HS, 55% college</w:t>
            </w:r>
          </w:p>
        </w:tc>
        <w:tc>
          <w:tcPr>
            <w:tcW w:w="3019" w:type="dxa"/>
            <w:tcBorders>
              <w:top w:val="nil"/>
              <w:left w:val="nil"/>
              <w:bottom w:val="nil"/>
              <w:right w:val="nil"/>
            </w:tcBorders>
            <w:shd w:val="clear" w:color="auto" w:fill="auto"/>
            <w:noWrap/>
            <w:vAlign w:val="bottom"/>
            <w:hideMark/>
          </w:tcPr>
          <w:p w14:paraId="38C68097"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Luyster et al. (2008)</w:t>
            </w:r>
          </w:p>
        </w:tc>
      </w:tr>
      <w:tr w:rsidR="006D7F34" w:rsidRPr="00614FFD" w14:paraId="6EFD9BFD" w14:textId="77777777" w:rsidTr="00494032">
        <w:trPr>
          <w:trHeight w:val="260"/>
        </w:trPr>
        <w:tc>
          <w:tcPr>
            <w:tcW w:w="7380" w:type="dxa"/>
            <w:tcBorders>
              <w:top w:val="nil"/>
              <w:left w:val="nil"/>
              <w:bottom w:val="nil"/>
              <w:right w:val="nil"/>
            </w:tcBorders>
            <w:shd w:val="clear" w:color="auto" w:fill="auto"/>
            <w:noWrap/>
            <w:vAlign w:val="bottom"/>
            <w:hideMark/>
          </w:tcPr>
          <w:p w14:paraId="5A565DC9" w14:textId="77777777" w:rsidR="006D7F34" w:rsidRPr="00614FFD" w:rsidRDefault="006D7F34" w:rsidP="00494032">
            <w:pPr>
              <w:rPr>
                <w:rFonts w:ascii="Arial" w:hAnsi="Arial" w:cs="Arial"/>
                <w:b/>
                <w:bCs/>
                <w:color w:val="000000"/>
                <w:sz w:val="22"/>
                <w:szCs w:val="22"/>
              </w:rPr>
            </w:pPr>
            <w:r w:rsidRPr="00614FFD">
              <w:rPr>
                <w:rFonts w:ascii="Arial" w:hAnsi="Arial" w:cs="Arial"/>
                <w:b/>
                <w:bCs/>
                <w:color w:val="000000"/>
                <w:sz w:val="22"/>
                <w:szCs w:val="22"/>
              </w:rPr>
              <w:t>Reported Household Income</w:t>
            </w:r>
          </w:p>
        </w:tc>
        <w:tc>
          <w:tcPr>
            <w:tcW w:w="3019" w:type="dxa"/>
            <w:tcBorders>
              <w:top w:val="nil"/>
              <w:left w:val="nil"/>
              <w:bottom w:val="nil"/>
              <w:right w:val="nil"/>
            </w:tcBorders>
            <w:shd w:val="clear" w:color="auto" w:fill="auto"/>
            <w:noWrap/>
            <w:vAlign w:val="bottom"/>
            <w:hideMark/>
          </w:tcPr>
          <w:p w14:paraId="3E58C801" w14:textId="77777777" w:rsidR="006D7F34" w:rsidRPr="00614FFD" w:rsidRDefault="006D7F34" w:rsidP="00494032">
            <w:pPr>
              <w:rPr>
                <w:rFonts w:ascii="Arial" w:hAnsi="Arial" w:cs="Arial"/>
                <w:b/>
                <w:bCs/>
                <w:color w:val="000000"/>
                <w:sz w:val="22"/>
                <w:szCs w:val="22"/>
              </w:rPr>
            </w:pPr>
          </w:p>
        </w:tc>
      </w:tr>
      <w:tr w:rsidR="006D7F34" w:rsidRPr="00614FFD" w14:paraId="25D1F370" w14:textId="77777777" w:rsidTr="00494032">
        <w:trPr>
          <w:trHeight w:val="260"/>
        </w:trPr>
        <w:tc>
          <w:tcPr>
            <w:tcW w:w="7380" w:type="dxa"/>
            <w:tcBorders>
              <w:top w:val="nil"/>
              <w:left w:val="nil"/>
              <w:bottom w:val="nil"/>
              <w:right w:val="nil"/>
            </w:tcBorders>
            <w:shd w:val="clear" w:color="auto" w:fill="auto"/>
            <w:noWrap/>
            <w:vAlign w:val="bottom"/>
            <w:hideMark/>
          </w:tcPr>
          <w:p w14:paraId="125619A5"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w:t>
            </w:r>
            <w:proofErr w:type="gramStart"/>
            <w:r w:rsidRPr="00614FFD">
              <w:rPr>
                <w:rFonts w:ascii="Arial" w:hAnsi="Arial" w:cs="Arial"/>
                <w:color w:val="000000"/>
                <w:sz w:val="22"/>
                <w:szCs w:val="22"/>
              </w:rPr>
              <w:t>lower</w:t>
            </w:r>
            <w:proofErr w:type="gramEnd"/>
            <w:r w:rsidRPr="00614FFD">
              <w:rPr>
                <w:rFonts w:ascii="Arial" w:hAnsi="Arial" w:cs="Arial"/>
                <w:color w:val="000000"/>
                <w:sz w:val="22"/>
                <w:szCs w:val="22"/>
              </w:rPr>
              <w:t>-SES to upper-SES"</w:t>
            </w:r>
          </w:p>
        </w:tc>
        <w:tc>
          <w:tcPr>
            <w:tcW w:w="3019" w:type="dxa"/>
            <w:tcBorders>
              <w:top w:val="nil"/>
              <w:left w:val="nil"/>
              <w:bottom w:val="nil"/>
              <w:right w:val="nil"/>
            </w:tcBorders>
            <w:shd w:val="clear" w:color="auto" w:fill="auto"/>
            <w:noWrap/>
            <w:vAlign w:val="bottom"/>
            <w:hideMark/>
          </w:tcPr>
          <w:p w14:paraId="0C22959A"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Jyotishi et al. (2017)</w:t>
            </w:r>
          </w:p>
        </w:tc>
      </w:tr>
      <w:tr w:rsidR="006D7F34" w:rsidRPr="00614FFD" w14:paraId="16B13385" w14:textId="77777777" w:rsidTr="00494032">
        <w:trPr>
          <w:trHeight w:val="260"/>
        </w:trPr>
        <w:tc>
          <w:tcPr>
            <w:tcW w:w="7380" w:type="dxa"/>
            <w:tcBorders>
              <w:top w:val="nil"/>
              <w:left w:val="nil"/>
              <w:bottom w:val="nil"/>
              <w:right w:val="nil"/>
            </w:tcBorders>
            <w:shd w:val="clear" w:color="auto" w:fill="auto"/>
            <w:noWrap/>
            <w:vAlign w:val="bottom"/>
            <w:hideMark/>
          </w:tcPr>
          <w:p w14:paraId="0274D5E6"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median: $75-$100K</w:t>
            </w:r>
          </w:p>
        </w:tc>
        <w:tc>
          <w:tcPr>
            <w:tcW w:w="3019" w:type="dxa"/>
            <w:tcBorders>
              <w:top w:val="nil"/>
              <w:left w:val="nil"/>
              <w:bottom w:val="nil"/>
              <w:right w:val="nil"/>
            </w:tcBorders>
            <w:shd w:val="clear" w:color="auto" w:fill="auto"/>
            <w:noWrap/>
            <w:vAlign w:val="bottom"/>
            <w:hideMark/>
          </w:tcPr>
          <w:p w14:paraId="573E9399"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Kover, Haebig, et al. (2014)</w:t>
            </w:r>
          </w:p>
        </w:tc>
      </w:tr>
      <w:tr w:rsidR="006D7F34" w:rsidRPr="00614FFD" w14:paraId="25A1CDEF" w14:textId="77777777" w:rsidTr="00494032">
        <w:trPr>
          <w:trHeight w:val="260"/>
        </w:trPr>
        <w:tc>
          <w:tcPr>
            <w:tcW w:w="7380" w:type="dxa"/>
            <w:tcBorders>
              <w:top w:val="nil"/>
              <w:left w:val="nil"/>
              <w:bottom w:val="nil"/>
              <w:right w:val="nil"/>
            </w:tcBorders>
            <w:shd w:val="clear" w:color="auto" w:fill="auto"/>
            <w:noWrap/>
            <w:vAlign w:val="bottom"/>
            <w:hideMark/>
          </w:tcPr>
          <w:p w14:paraId="2712451E" w14:textId="77777777" w:rsidR="006D7F34" w:rsidRPr="00614FFD" w:rsidRDefault="006D7F34" w:rsidP="00494032">
            <w:pPr>
              <w:rPr>
                <w:rFonts w:ascii="Arial" w:hAnsi="Arial" w:cs="Arial"/>
                <w:b/>
                <w:bCs/>
                <w:color w:val="000000"/>
                <w:sz w:val="22"/>
                <w:szCs w:val="22"/>
              </w:rPr>
            </w:pPr>
            <w:r w:rsidRPr="00614FFD">
              <w:rPr>
                <w:rFonts w:ascii="Arial" w:hAnsi="Arial" w:cs="Arial"/>
                <w:b/>
                <w:bCs/>
                <w:color w:val="000000"/>
                <w:sz w:val="22"/>
                <w:szCs w:val="22"/>
              </w:rPr>
              <w:t>Reported Non-Participant Specific Indicators (SEIFA)</w:t>
            </w:r>
          </w:p>
        </w:tc>
        <w:tc>
          <w:tcPr>
            <w:tcW w:w="3019" w:type="dxa"/>
            <w:tcBorders>
              <w:top w:val="nil"/>
              <w:left w:val="nil"/>
              <w:bottom w:val="nil"/>
              <w:right w:val="nil"/>
            </w:tcBorders>
            <w:shd w:val="clear" w:color="auto" w:fill="auto"/>
            <w:noWrap/>
            <w:vAlign w:val="bottom"/>
            <w:hideMark/>
          </w:tcPr>
          <w:p w14:paraId="02F25489" w14:textId="77777777" w:rsidR="006D7F34" w:rsidRPr="00614FFD" w:rsidRDefault="006D7F34" w:rsidP="00494032">
            <w:pPr>
              <w:rPr>
                <w:rFonts w:ascii="Arial" w:hAnsi="Arial" w:cs="Arial"/>
                <w:b/>
                <w:bCs/>
                <w:color w:val="000000"/>
                <w:sz w:val="22"/>
                <w:szCs w:val="22"/>
              </w:rPr>
            </w:pPr>
          </w:p>
        </w:tc>
      </w:tr>
      <w:tr w:rsidR="006D7F34" w:rsidRPr="00614FFD" w14:paraId="0E8C0FE0" w14:textId="77777777" w:rsidTr="00494032">
        <w:trPr>
          <w:trHeight w:val="260"/>
        </w:trPr>
        <w:tc>
          <w:tcPr>
            <w:tcW w:w="7380" w:type="dxa"/>
            <w:tcBorders>
              <w:top w:val="nil"/>
              <w:left w:val="nil"/>
              <w:bottom w:val="nil"/>
              <w:right w:val="nil"/>
            </w:tcBorders>
            <w:shd w:val="clear" w:color="auto" w:fill="auto"/>
            <w:noWrap/>
            <w:vAlign w:val="bottom"/>
            <w:hideMark/>
          </w:tcPr>
          <w:p w14:paraId="4B660C36"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w:t>
            </w:r>
            <w:proofErr w:type="gramStart"/>
            <w:r w:rsidRPr="00614FFD">
              <w:rPr>
                <w:rFonts w:ascii="Arial" w:hAnsi="Arial" w:cs="Arial"/>
                <w:color w:val="000000"/>
                <w:sz w:val="22"/>
                <w:szCs w:val="22"/>
              </w:rPr>
              <w:t>mostly</w:t>
            </w:r>
            <w:proofErr w:type="gramEnd"/>
            <w:r w:rsidRPr="00614FFD">
              <w:rPr>
                <w:rFonts w:ascii="Arial" w:hAnsi="Arial" w:cs="Arial"/>
                <w:color w:val="000000"/>
                <w:sz w:val="22"/>
                <w:szCs w:val="22"/>
              </w:rPr>
              <w:t xml:space="preserve"> high"; M = 1066</w:t>
            </w:r>
          </w:p>
        </w:tc>
        <w:tc>
          <w:tcPr>
            <w:tcW w:w="3019" w:type="dxa"/>
            <w:tcBorders>
              <w:top w:val="nil"/>
              <w:left w:val="nil"/>
              <w:bottom w:val="nil"/>
              <w:right w:val="nil"/>
            </w:tcBorders>
            <w:shd w:val="clear" w:color="auto" w:fill="auto"/>
            <w:noWrap/>
            <w:vAlign w:val="bottom"/>
            <w:hideMark/>
          </w:tcPr>
          <w:p w14:paraId="24EF61EA"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Barbaro &amp; Dissanayake (2012)</w:t>
            </w:r>
          </w:p>
        </w:tc>
      </w:tr>
      <w:tr w:rsidR="006D7F34" w:rsidRPr="00614FFD" w14:paraId="028249F5" w14:textId="77777777" w:rsidTr="00494032">
        <w:trPr>
          <w:trHeight w:val="260"/>
        </w:trPr>
        <w:tc>
          <w:tcPr>
            <w:tcW w:w="7380" w:type="dxa"/>
            <w:tcBorders>
              <w:top w:val="nil"/>
              <w:left w:val="nil"/>
              <w:bottom w:val="nil"/>
              <w:right w:val="nil"/>
            </w:tcBorders>
            <w:shd w:val="clear" w:color="auto" w:fill="auto"/>
            <w:noWrap/>
            <w:vAlign w:val="bottom"/>
            <w:hideMark/>
          </w:tcPr>
          <w:p w14:paraId="2E49AAE4" w14:textId="77777777" w:rsidR="006D7F34" w:rsidRPr="00614FFD" w:rsidRDefault="006D7F34" w:rsidP="00494032">
            <w:pPr>
              <w:rPr>
                <w:rFonts w:ascii="Arial" w:hAnsi="Arial" w:cs="Arial"/>
                <w:b/>
                <w:bCs/>
                <w:color w:val="000000"/>
                <w:sz w:val="22"/>
                <w:szCs w:val="22"/>
              </w:rPr>
            </w:pPr>
            <w:r w:rsidRPr="00614FFD">
              <w:rPr>
                <w:rFonts w:ascii="Arial" w:hAnsi="Arial" w:cs="Arial"/>
                <w:b/>
                <w:bCs/>
                <w:color w:val="000000"/>
                <w:sz w:val="22"/>
                <w:szCs w:val="22"/>
              </w:rPr>
              <w:t>Unclear What Measure Reported</w:t>
            </w:r>
          </w:p>
        </w:tc>
        <w:tc>
          <w:tcPr>
            <w:tcW w:w="3019" w:type="dxa"/>
            <w:tcBorders>
              <w:top w:val="nil"/>
              <w:left w:val="nil"/>
              <w:bottom w:val="nil"/>
              <w:right w:val="nil"/>
            </w:tcBorders>
            <w:shd w:val="clear" w:color="auto" w:fill="auto"/>
            <w:noWrap/>
            <w:vAlign w:val="bottom"/>
            <w:hideMark/>
          </w:tcPr>
          <w:p w14:paraId="5B2DAE3D" w14:textId="77777777" w:rsidR="006D7F34" w:rsidRPr="00614FFD" w:rsidRDefault="006D7F34" w:rsidP="00494032">
            <w:pPr>
              <w:rPr>
                <w:rFonts w:ascii="Arial" w:hAnsi="Arial" w:cs="Arial"/>
                <w:b/>
                <w:bCs/>
                <w:color w:val="000000"/>
                <w:sz w:val="22"/>
                <w:szCs w:val="22"/>
              </w:rPr>
            </w:pPr>
          </w:p>
        </w:tc>
      </w:tr>
      <w:tr w:rsidR="006D7F34" w:rsidRPr="00614FFD" w14:paraId="3DB02204" w14:textId="77777777" w:rsidTr="00494032">
        <w:trPr>
          <w:trHeight w:val="260"/>
        </w:trPr>
        <w:tc>
          <w:tcPr>
            <w:tcW w:w="7380" w:type="dxa"/>
            <w:tcBorders>
              <w:top w:val="nil"/>
              <w:left w:val="nil"/>
              <w:bottom w:val="nil"/>
              <w:right w:val="nil"/>
            </w:tcBorders>
            <w:shd w:val="clear" w:color="auto" w:fill="auto"/>
            <w:noWrap/>
            <w:vAlign w:val="bottom"/>
            <w:hideMark/>
          </w:tcPr>
          <w:p w14:paraId="5B5BEFC7"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"mid-high"</w:t>
            </w:r>
          </w:p>
        </w:tc>
        <w:tc>
          <w:tcPr>
            <w:tcW w:w="3019" w:type="dxa"/>
            <w:tcBorders>
              <w:top w:val="nil"/>
              <w:left w:val="nil"/>
              <w:bottom w:val="nil"/>
              <w:right w:val="nil"/>
            </w:tcBorders>
            <w:shd w:val="clear" w:color="auto" w:fill="auto"/>
            <w:noWrap/>
            <w:vAlign w:val="bottom"/>
            <w:hideMark/>
          </w:tcPr>
          <w:p w14:paraId="710A92D6" w14:textId="77777777" w:rsidR="006D7F34" w:rsidRPr="00614FFD" w:rsidRDefault="006D7F34" w:rsidP="00494032">
            <w:pPr>
              <w:rPr>
                <w:rFonts w:ascii="Arial" w:hAnsi="Arial" w:cs="Arial"/>
                <w:color w:val="000000"/>
                <w:sz w:val="22"/>
                <w:szCs w:val="22"/>
              </w:rPr>
            </w:pPr>
            <w:r w:rsidRPr="00614FFD">
              <w:rPr>
                <w:rFonts w:ascii="Arial" w:hAnsi="Arial" w:cs="Arial"/>
                <w:color w:val="000000"/>
                <w:sz w:val="22"/>
                <w:szCs w:val="22"/>
              </w:rPr>
              <w:t>Jokel et al. (2021)</w:t>
            </w:r>
          </w:p>
        </w:tc>
      </w:tr>
      <w:tr w:rsidR="006D7F34" w:rsidRPr="00614FFD" w14:paraId="4191A907" w14:textId="77777777" w:rsidTr="00494032">
        <w:trPr>
          <w:trHeight w:val="2132"/>
        </w:trPr>
        <w:tc>
          <w:tcPr>
            <w:tcW w:w="10399" w:type="dxa"/>
            <w:gridSpan w:val="2"/>
            <w:tcBorders>
              <w:top w:val="single" w:sz="4" w:space="0" w:color="auto"/>
              <w:left w:val="nil"/>
              <w:bottom w:val="nil"/>
              <w:right w:val="nil"/>
            </w:tcBorders>
            <w:shd w:val="clear" w:color="auto" w:fill="auto"/>
            <w:vAlign w:val="bottom"/>
            <w:hideMark/>
          </w:tcPr>
          <w:p w14:paraId="2915BA1D" w14:textId="77777777" w:rsidR="006D7F34" w:rsidRPr="00BE41BE" w:rsidRDefault="006D7F34" w:rsidP="00494032">
            <w:pPr>
              <w:rPr>
                <w:rFonts w:ascii="Arial" w:hAnsi="Arial" w:cs="Arial"/>
                <w:color w:val="000000"/>
                <w:sz w:val="22"/>
                <w:szCs w:val="22"/>
              </w:rPr>
            </w:pPr>
            <w:r w:rsidRPr="00614FFD">
              <w:rPr>
                <w:rFonts w:ascii="Arial" w:hAnsi="Arial" w:cs="Arial"/>
                <w:i/>
                <w:iCs/>
                <w:color w:val="000000"/>
                <w:sz w:val="22"/>
                <w:szCs w:val="22"/>
              </w:rPr>
              <w:t xml:space="preserve">Note. </w:t>
            </w:r>
            <w:r w:rsidRPr="00614FFD">
              <w:rPr>
                <w:rFonts w:ascii="Arial" w:hAnsi="Arial" w:cs="Arial"/>
                <w:color w:val="000000"/>
                <w:sz w:val="22"/>
                <w:szCs w:val="22"/>
              </w:rPr>
              <w:t xml:space="preserve">Hollingshead Four-Factor Index (Hollingshead, 1975) has a range of 8-66. CAD = Canadian dollars. BA = bachelor's degree. HS = high school. AS = </w:t>
            </w:r>
            <w:proofErr w:type="gramStart"/>
            <w:r w:rsidRPr="00614FFD">
              <w:rPr>
                <w:rFonts w:ascii="Arial" w:hAnsi="Arial" w:cs="Arial"/>
                <w:color w:val="000000"/>
                <w:sz w:val="22"/>
                <w:szCs w:val="22"/>
              </w:rPr>
              <w:t>associate's</w:t>
            </w:r>
            <w:proofErr w:type="gramEnd"/>
            <w:r w:rsidRPr="00614FFD">
              <w:rPr>
                <w:rFonts w:ascii="Arial" w:hAnsi="Arial" w:cs="Arial"/>
                <w:color w:val="000000"/>
                <w:sz w:val="22"/>
                <w:szCs w:val="22"/>
              </w:rPr>
              <w:t xml:space="preserve"> degree. MA = master's degree. PhD = doctoral degree. Hollingshead Two-Factor Index (Hollingshead, 1957) includes maternal/parental education level and occupational prestige. Hollingshead LE = level of education on a scale of 1-7, 1 = &lt;7th grade and 7 = graduate/professional training. SEIFA = Socio-Economic Indexes for Areas (Australian Bureau of Statistics, 2018; </w:t>
            </w:r>
            <w:r w:rsidRPr="00614FFD">
              <w:rPr>
                <w:rFonts w:ascii="Arial" w:hAnsi="Arial" w:cs="Arial"/>
                <w:i/>
                <w:iCs/>
                <w:color w:val="000000"/>
                <w:sz w:val="22"/>
                <w:szCs w:val="22"/>
              </w:rPr>
              <w:t>M</w:t>
            </w:r>
            <w:r w:rsidRPr="00614FFD">
              <w:rPr>
                <w:rFonts w:ascii="Arial" w:hAnsi="Arial" w:cs="Arial"/>
                <w:color w:val="000000"/>
                <w:sz w:val="22"/>
                <w:szCs w:val="22"/>
              </w:rPr>
              <w:t xml:space="preserve"> = 1000, </w:t>
            </w:r>
            <w:r w:rsidRPr="00614FFD">
              <w:rPr>
                <w:rFonts w:ascii="Arial" w:hAnsi="Arial" w:cs="Arial"/>
                <w:i/>
                <w:iCs/>
                <w:color w:val="000000"/>
                <w:sz w:val="22"/>
                <w:szCs w:val="22"/>
              </w:rPr>
              <w:t xml:space="preserve">SD </w:t>
            </w:r>
            <w:r w:rsidRPr="00614FFD">
              <w:rPr>
                <w:rFonts w:ascii="Arial" w:hAnsi="Arial" w:cs="Arial"/>
                <w:color w:val="000000"/>
                <w:sz w:val="22"/>
                <w:szCs w:val="22"/>
              </w:rPr>
              <w:t>= 100), with higher scores indicating greater advantage and including four indices: Index of Relative Socio-economic Disadvantage, Index of Relative Socio-economic Advantage and Disadvantage, Index of Economic Resources, and Index of Education and Occupation. ALI = autism plus language impairment. Prescott &amp; Ellis Weismer (2021) used same sample as their 2022 report but did not report SES.</w:t>
            </w:r>
            <w:r>
              <w:rPr>
                <w:rFonts w:ascii="Arial" w:hAnsi="Arial" w:cs="Arial"/>
                <w:color w:val="000000"/>
                <w:sz w:val="22"/>
                <w:szCs w:val="22"/>
              </w:rPr>
              <w:t xml:space="preserve"> Eigsti &amp; Bennetto (2009) erroneously reported 117.8 as mean SES in original report, but the actual mean SES was 51.</w:t>
            </w:r>
          </w:p>
        </w:tc>
      </w:tr>
    </w:tbl>
    <w:p w14:paraId="790E6A99" w14:textId="0CE3F1C9" w:rsidR="006D7F34" w:rsidRPr="001433A9" w:rsidRDefault="006D7F34" w:rsidP="00292C9F">
      <w:pPr>
        <w:widowControl w:val="0"/>
        <w:spacing w:line="480" w:lineRule="auto"/>
        <w:ind w:firstLine="720"/>
        <w:rPr>
          <w:color w:val="000000" w:themeColor="text1"/>
        </w:rPr>
      </w:pPr>
    </w:p>
    <w:p w14:paraId="4F652EC4" w14:textId="7DE98ABA" w:rsidR="00C82253" w:rsidRPr="001433A9" w:rsidRDefault="00C82253" w:rsidP="00292C9F">
      <w:pPr>
        <w:widowControl w:val="0"/>
        <w:spacing w:line="480" w:lineRule="auto"/>
        <w:ind w:firstLine="720"/>
        <w:rPr>
          <w:color w:val="000000" w:themeColor="text1"/>
        </w:rPr>
      </w:pPr>
      <w:r w:rsidRPr="001433A9">
        <w:rPr>
          <w:color w:val="000000" w:themeColor="text1"/>
        </w:rPr>
        <w:t>Some studies used singular or non-specific indicators of SES. Eighteen of 30 studies (60%) reported maternal (</w:t>
      </w:r>
      <w:r w:rsidRPr="001433A9">
        <w:rPr>
          <w:i/>
          <w:iCs/>
          <w:color w:val="000000" w:themeColor="text1"/>
        </w:rPr>
        <w:t xml:space="preserve">n </w:t>
      </w:r>
      <w:r w:rsidRPr="001433A9">
        <w:rPr>
          <w:color w:val="000000" w:themeColor="text1"/>
        </w:rPr>
        <w:t>= 13) or parental level of education (</w:t>
      </w:r>
      <w:r w:rsidRPr="001433A9">
        <w:rPr>
          <w:i/>
          <w:iCs/>
          <w:color w:val="000000" w:themeColor="text1"/>
        </w:rPr>
        <w:t xml:space="preserve">n </w:t>
      </w:r>
      <w:r w:rsidRPr="001433A9">
        <w:rPr>
          <w:color w:val="000000" w:themeColor="text1"/>
        </w:rPr>
        <w:t xml:space="preserve">= 5). Two studies reported household income </w:t>
      </w:r>
      <w:r w:rsidRPr="001433A9">
        <w:rPr>
          <w:noProof/>
          <w:color w:val="000000" w:themeColor="text1"/>
        </w:rPr>
        <w:t>(Jyotishi et al., 2017; Kover et al., 2014)</w:t>
      </w:r>
      <w:r w:rsidRPr="001433A9">
        <w:rPr>
          <w:color w:val="000000" w:themeColor="text1"/>
        </w:rPr>
        <w:t xml:space="preserve">. As for non-specific indicators, </w:t>
      </w:r>
      <w:r w:rsidRPr="001433A9">
        <w:rPr>
          <w:noProof/>
          <w:color w:val="000000" w:themeColor="text1"/>
        </w:rPr>
        <w:t xml:space="preserve">Jokel </w:t>
      </w:r>
      <w:r w:rsidRPr="001433A9">
        <w:rPr>
          <w:noProof/>
          <w:color w:val="000000" w:themeColor="text1"/>
        </w:rPr>
        <w:lastRenderedPageBreak/>
        <w:t>et al. (2021)</w:t>
      </w:r>
      <w:r w:rsidRPr="001433A9">
        <w:rPr>
          <w:color w:val="000000" w:themeColor="text1"/>
        </w:rPr>
        <w:t xml:space="preserve"> reported that participant SES was “mid to high” without further details. </w:t>
      </w:r>
      <w:r w:rsidRPr="001433A9">
        <w:rPr>
          <w:noProof/>
          <w:color w:val="000000" w:themeColor="text1"/>
        </w:rPr>
        <w:t>Barbaro and Dissanayake (2012)</w:t>
      </w:r>
      <w:r w:rsidRPr="001433A9">
        <w:rPr>
          <w:color w:val="000000" w:themeColor="text1"/>
        </w:rPr>
        <w:t xml:space="preserve"> used the Socio-Economic Index for Areas </w:t>
      </w:r>
      <w:r w:rsidRPr="001433A9">
        <w:rPr>
          <w:noProof/>
          <w:color w:val="000000" w:themeColor="text1"/>
        </w:rPr>
        <w:t>(Australian Bureau Of Statistics, 2018)</w:t>
      </w:r>
      <w:r w:rsidRPr="001433A9">
        <w:rPr>
          <w:color w:val="000000" w:themeColor="text1"/>
        </w:rPr>
        <w:t>, which</w:t>
      </w:r>
      <w:r w:rsidR="00FF1DFC" w:rsidRPr="001433A9">
        <w:rPr>
          <w:color w:val="000000" w:themeColor="text1"/>
        </w:rPr>
        <w:t xml:space="preserve"> is a compound measure including</w:t>
      </w:r>
      <w:r w:rsidRPr="001433A9">
        <w:rPr>
          <w:color w:val="000000" w:themeColor="text1"/>
        </w:rPr>
        <w:t xml:space="preserve"> </w:t>
      </w:r>
      <w:r w:rsidR="00C6251E" w:rsidRPr="001433A9">
        <w:rPr>
          <w:color w:val="000000" w:themeColor="text1"/>
        </w:rPr>
        <w:t xml:space="preserve">neighborhood- but not participant-level </w:t>
      </w:r>
      <w:r w:rsidRPr="001433A9">
        <w:rPr>
          <w:color w:val="000000" w:themeColor="text1"/>
        </w:rPr>
        <w:t>indices: relative SES disadvantage, SES advantage and disadvantage, economic resources, and education</w:t>
      </w:r>
      <w:r w:rsidR="00E317E7" w:rsidRPr="001433A9">
        <w:rPr>
          <w:color w:val="000000" w:themeColor="text1"/>
        </w:rPr>
        <w:t xml:space="preserve"> </w:t>
      </w:r>
      <w:r w:rsidRPr="001433A9">
        <w:rPr>
          <w:color w:val="000000" w:themeColor="text1"/>
        </w:rPr>
        <w:t>and occupation. Overall, studies varied in use of SES measures and scales.</w:t>
      </w:r>
    </w:p>
    <w:p w14:paraId="20487FD6" w14:textId="6C569A40" w:rsidR="00C82253" w:rsidRPr="001433A9" w:rsidRDefault="00C82253" w:rsidP="00292C9F">
      <w:pPr>
        <w:widowControl w:val="0"/>
        <w:spacing w:line="480" w:lineRule="auto"/>
        <w:ind w:firstLine="720"/>
        <w:rPr>
          <w:color w:val="000000" w:themeColor="text1"/>
        </w:rPr>
      </w:pPr>
      <w:r w:rsidRPr="001433A9">
        <w:rPr>
          <w:color w:val="000000" w:themeColor="text1"/>
        </w:rPr>
        <w:t xml:space="preserve">Studies also differed in how they described SES distributions. Twelve of 30 studies (40%) reported percentages within three or more categories for indicators, such as education level. Eleven studies (37%) reported mean or median data, and five studies (17%) used binary categories (e.g., percentage of parents with a bachelor’s degree or higher). Two studies reported descriptive text </w:t>
      </w:r>
      <w:r w:rsidRPr="001433A9">
        <w:rPr>
          <w:noProof/>
          <w:color w:val="000000" w:themeColor="text1"/>
        </w:rPr>
        <w:t>(Jokel et al., 2021; Jyotishi et al., 2017)</w:t>
      </w:r>
      <w:r w:rsidRPr="001433A9">
        <w:rPr>
          <w:color w:val="000000" w:themeColor="text1"/>
        </w:rPr>
        <w:t>. These differing descriptors of SES give rise to two considerations. On one hand, it is difficult to interpret descriptive information without quantitative metrics. At the same time, providing quantitative metrics without descriptive information complicates interpretation of SES distribution data (e.g., indicating household</w:t>
      </w:r>
      <w:r w:rsidR="00E317E7" w:rsidRPr="001433A9">
        <w:rPr>
          <w:color w:val="000000" w:themeColor="text1"/>
        </w:rPr>
        <w:t xml:space="preserve"> </w:t>
      </w:r>
      <w:r w:rsidRPr="001433A9">
        <w:rPr>
          <w:color w:val="000000" w:themeColor="text1"/>
        </w:rPr>
        <w:t xml:space="preserve">income </w:t>
      </w:r>
      <w:r w:rsidRPr="001433A9">
        <w:rPr>
          <w:i/>
          <w:iCs/>
          <w:color w:val="000000" w:themeColor="text1"/>
        </w:rPr>
        <w:t xml:space="preserve">plus </w:t>
      </w:r>
      <w:r w:rsidRPr="001433A9">
        <w:rPr>
          <w:color w:val="000000" w:themeColor="text1"/>
        </w:rPr>
        <w:t>whether the household income is sufficient relative to cost of living for the area).</w:t>
      </w:r>
    </w:p>
    <w:p w14:paraId="185D0704" w14:textId="77777777" w:rsidR="00C82253" w:rsidRPr="001433A9" w:rsidRDefault="00C82253" w:rsidP="00851E32">
      <w:pPr>
        <w:widowControl w:val="0"/>
        <w:spacing w:line="480" w:lineRule="auto"/>
        <w:jc w:val="center"/>
        <w:rPr>
          <w:b/>
          <w:bCs/>
          <w:color w:val="000000" w:themeColor="text1"/>
        </w:rPr>
      </w:pPr>
      <w:r w:rsidRPr="001433A9">
        <w:rPr>
          <w:b/>
          <w:bCs/>
          <w:color w:val="000000" w:themeColor="text1"/>
        </w:rPr>
        <w:t>Discussion</w:t>
      </w:r>
    </w:p>
    <w:p w14:paraId="43E2E8DD" w14:textId="2B4C3330" w:rsidR="00C82253" w:rsidRPr="001433A9" w:rsidRDefault="00C82253" w:rsidP="00851E32">
      <w:pPr>
        <w:widowControl w:val="0"/>
        <w:spacing w:line="480" w:lineRule="auto"/>
        <w:ind w:firstLine="720"/>
        <w:rPr>
          <w:color w:val="000000" w:themeColor="text1"/>
        </w:rPr>
      </w:pPr>
      <w:r w:rsidRPr="001433A9">
        <w:rPr>
          <w:color w:val="000000" w:themeColor="text1"/>
        </w:rPr>
        <w:t xml:space="preserve">Evaluation of sociodemographics for 8204 autistic participants in 60 studies investigating language using age-referenced measures in school-age autistic individuals from 1980 to </w:t>
      </w:r>
      <w:r w:rsidR="00141D33" w:rsidRPr="001433A9">
        <w:rPr>
          <w:color w:val="000000" w:themeColor="text1"/>
        </w:rPr>
        <w:t>2022</w:t>
      </w:r>
      <w:r w:rsidRPr="001433A9">
        <w:rPr>
          <w:color w:val="000000" w:themeColor="text1"/>
        </w:rPr>
        <w:t xml:space="preserve"> revealed insufficient adherence to</w:t>
      </w:r>
      <w:r w:rsidR="00141D33" w:rsidRPr="001433A9">
        <w:rPr>
          <w:color w:val="000000" w:themeColor="text1"/>
        </w:rPr>
        <w:t xml:space="preserve"> reporting guidelines from the AMA </w:t>
      </w:r>
      <w:r w:rsidR="00141D33" w:rsidRPr="001433A9">
        <w:rPr>
          <w:noProof/>
          <w:color w:val="000000" w:themeColor="text1"/>
        </w:rPr>
        <w:t>(Flanagin et al., 2021; JAMA Network Editors, 2020)</w:t>
      </w:r>
      <w:r w:rsidR="00141D33" w:rsidRPr="001433A9">
        <w:rPr>
          <w:color w:val="000000" w:themeColor="text1"/>
        </w:rPr>
        <w:t xml:space="preserve"> and APA </w:t>
      </w:r>
      <w:r w:rsidR="00141D33" w:rsidRPr="001433A9">
        <w:rPr>
          <w:noProof/>
          <w:color w:val="000000" w:themeColor="text1"/>
        </w:rPr>
        <w:t>(2020, 2021)</w:t>
      </w:r>
      <w:r w:rsidRPr="001433A9">
        <w:rPr>
          <w:color w:val="000000" w:themeColor="text1"/>
        </w:rPr>
        <w:t>. In addition to underreporting of race, ethnicity, gender, sex, and SES, studies were also inconsistent in their reporting practices and frequently included all- or primarily white samples. These data severely limit our</w:t>
      </w:r>
      <w:r w:rsidR="00141D33" w:rsidRPr="001433A9">
        <w:rPr>
          <w:color w:val="000000" w:themeColor="text1"/>
        </w:rPr>
        <w:t xml:space="preserve"> </w:t>
      </w:r>
      <w:r w:rsidRPr="001433A9">
        <w:rPr>
          <w:color w:val="000000" w:themeColor="text1"/>
        </w:rPr>
        <w:t>understanding of participant diversity and the generalizability of study findings.</w:t>
      </w:r>
    </w:p>
    <w:p w14:paraId="730C39E7" w14:textId="77777777" w:rsidR="00C82253" w:rsidRPr="001433A9" w:rsidRDefault="00C82253" w:rsidP="00851E32">
      <w:pPr>
        <w:widowControl w:val="0"/>
        <w:spacing w:line="480" w:lineRule="auto"/>
        <w:rPr>
          <w:b/>
          <w:bCs/>
          <w:color w:val="000000" w:themeColor="text1"/>
        </w:rPr>
      </w:pPr>
      <w:r w:rsidRPr="001433A9">
        <w:rPr>
          <w:b/>
          <w:bCs/>
          <w:color w:val="000000" w:themeColor="text1"/>
        </w:rPr>
        <w:t>Inequitable Representation</w:t>
      </w:r>
    </w:p>
    <w:p w14:paraId="37164808" w14:textId="32FEA132" w:rsidR="00C82253" w:rsidRPr="001433A9" w:rsidRDefault="00C82253" w:rsidP="007909EB">
      <w:pPr>
        <w:widowControl w:val="0"/>
        <w:spacing w:line="480" w:lineRule="auto"/>
        <w:ind w:firstLine="720"/>
        <w:rPr>
          <w:color w:val="000000" w:themeColor="text1"/>
        </w:rPr>
      </w:pPr>
      <w:r w:rsidRPr="001433A9">
        <w:rPr>
          <w:color w:val="000000" w:themeColor="text1"/>
        </w:rPr>
        <w:lastRenderedPageBreak/>
        <w:t xml:space="preserve">Study findings indicate underreporting in studies where autistic individuals are participants, and a lack of racial and ethnic representation when studies report this data. From a DisCrit perspective </w:t>
      </w:r>
      <w:r w:rsidRPr="001433A9">
        <w:rPr>
          <w:noProof/>
          <w:color w:val="000000" w:themeColor="text1"/>
        </w:rPr>
        <w:t>(Annamma et al., 2018)</w:t>
      </w:r>
      <w:r w:rsidRPr="001433A9">
        <w:rPr>
          <w:color w:val="000000" w:themeColor="text1"/>
        </w:rPr>
        <w:t xml:space="preserve">, underreporting </w:t>
      </w:r>
      <w:r w:rsidRPr="001433A9">
        <w:rPr>
          <w:i/>
          <w:iCs/>
          <w:color w:val="000000" w:themeColor="text1"/>
        </w:rPr>
        <w:t xml:space="preserve">plus </w:t>
      </w:r>
      <w:r w:rsidRPr="001433A9">
        <w:rPr>
          <w:color w:val="000000" w:themeColor="text1"/>
        </w:rPr>
        <w:t xml:space="preserve">inequity exacerbates minoritization arising from race and dis/ability. </w:t>
      </w:r>
      <w:r w:rsidR="003E1158" w:rsidRPr="001433A9">
        <w:rPr>
          <w:color w:val="000000" w:themeColor="text1"/>
        </w:rPr>
        <w:t>Mitigating harm to autistic REM</w:t>
      </w:r>
      <w:r w:rsidR="009B2511" w:rsidRPr="001433A9">
        <w:rPr>
          <w:color w:val="000000" w:themeColor="text1"/>
        </w:rPr>
        <w:t xml:space="preserve"> in terms of diagnosis (e.g., Maenner et al., 2021) and adulthood health outcomes (Schott et al., 2021)</w:t>
      </w:r>
      <w:r w:rsidR="003E1158" w:rsidRPr="001433A9">
        <w:rPr>
          <w:color w:val="000000" w:themeColor="text1"/>
        </w:rPr>
        <w:t xml:space="preserve">, </w:t>
      </w:r>
      <w:r w:rsidR="009B2511" w:rsidRPr="001433A9">
        <w:rPr>
          <w:color w:val="000000" w:themeColor="text1"/>
        </w:rPr>
        <w:t>requires having a transparent and just evidence base with representation of the entire autistic population.</w:t>
      </w:r>
      <w:r w:rsidR="006B61E6" w:rsidRPr="001433A9">
        <w:rPr>
          <w:color w:val="000000" w:themeColor="text1"/>
        </w:rPr>
        <w:t xml:space="preserve"> This evidence is critical to developing ecologically valid assessments, supports, and practices that are sensitive to the heterogeneity of autistic individuals.</w:t>
      </w:r>
      <w:r w:rsidR="003E1158" w:rsidRPr="001433A9">
        <w:rPr>
          <w:color w:val="000000" w:themeColor="text1"/>
        </w:rPr>
        <w:t xml:space="preserve"> </w:t>
      </w:r>
      <w:r w:rsidR="006B61E6" w:rsidRPr="001433A9">
        <w:rPr>
          <w:color w:val="000000" w:themeColor="text1"/>
        </w:rPr>
        <w:t>In addition,</w:t>
      </w:r>
      <w:r w:rsidR="006B61E6" w:rsidRPr="001433A9">
        <w:rPr>
          <w:b/>
          <w:bCs/>
          <w:color w:val="000000" w:themeColor="text1"/>
        </w:rPr>
        <w:t xml:space="preserve"> </w:t>
      </w:r>
      <w:r w:rsidR="006B61E6" w:rsidRPr="001433A9">
        <w:rPr>
          <w:color w:val="000000" w:themeColor="text1"/>
        </w:rPr>
        <w:t>f</w:t>
      </w:r>
      <w:r w:rsidRPr="001433A9">
        <w:rPr>
          <w:color w:val="000000" w:themeColor="text1"/>
        </w:rPr>
        <w:t xml:space="preserve">ailure to report data in a nuanced way (e.g., representation of race </w:t>
      </w:r>
      <w:r w:rsidRPr="001433A9">
        <w:rPr>
          <w:i/>
          <w:iCs/>
          <w:color w:val="000000" w:themeColor="text1"/>
        </w:rPr>
        <w:t>by</w:t>
      </w:r>
      <w:r w:rsidRPr="001433A9">
        <w:rPr>
          <w:color w:val="000000" w:themeColor="text1"/>
        </w:rPr>
        <w:t xml:space="preserve"> gender or sex </w:t>
      </w:r>
      <w:r w:rsidRPr="001433A9">
        <w:rPr>
          <w:i/>
          <w:iCs/>
          <w:color w:val="000000" w:themeColor="text1"/>
        </w:rPr>
        <w:t xml:space="preserve">by </w:t>
      </w:r>
      <w:r w:rsidRPr="001433A9">
        <w:rPr>
          <w:color w:val="000000" w:themeColor="text1"/>
        </w:rPr>
        <w:t xml:space="preserve">SES) limits our understanding of intersectional inequities </w:t>
      </w:r>
      <w:r w:rsidRPr="001433A9">
        <w:rPr>
          <w:noProof/>
          <w:color w:val="000000" w:themeColor="text1"/>
        </w:rPr>
        <w:t>(Bauer et al., 2021; Crenshaw, 1989)</w:t>
      </w:r>
      <w:r w:rsidRPr="001433A9">
        <w:rPr>
          <w:color w:val="000000" w:themeColor="text1"/>
        </w:rPr>
        <w:t xml:space="preserve">. As for individual sociodemographic factors, studies sometime collapsed variability. For example, given the importance of gender diversity in autistic individuals </w:t>
      </w:r>
      <w:r w:rsidRPr="001433A9">
        <w:rPr>
          <w:bCs/>
          <w:noProof/>
          <w:color w:val="000000" w:themeColor="text1"/>
        </w:rPr>
        <w:t>(Walsh et al., 2018; Warrier et al., 2020)</w:t>
      </w:r>
      <w:r w:rsidRPr="001433A9">
        <w:rPr>
          <w:color w:val="000000" w:themeColor="text1"/>
        </w:rPr>
        <w:t>, reporting only males or failing to specify whether studies report gender, gender</w:t>
      </w:r>
      <w:r w:rsidR="007F6BB7" w:rsidRPr="001433A9">
        <w:rPr>
          <w:color w:val="000000" w:themeColor="text1"/>
        </w:rPr>
        <w:t xml:space="preserve"> </w:t>
      </w:r>
      <w:r w:rsidRPr="001433A9">
        <w:rPr>
          <w:color w:val="000000" w:themeColor="text1"/>
        </w:rPr>
        <w:t>identity, or sex is insufficient for broadly understanding findings.</w:t>
      </w:r>
      <w:r w:rsidR="007909EB" w:rsidRPr="001433A9">
        <w:rPr>
          <w:color w:val="000000" w:themeColor="text1"/>
        </w:rPr>
        <w:t xml:space="preserve"> In addition, perceptions about SES as a construct have changed over time, with no one validated assessment of SES (Long &amp; Renbarger, 2023). Thus, it is perhaps unsurprising that studies included in this review varied in metrics of SES; researchers have the challenge of deciding what indicators of SES are meaningful for their population and how to summarize them. </w:t>
      </w:r>
    </w:p>
    <w:p w14:paraId="6CD63125" w14:textId="07EAF8B1" w:rsidR="00C82253" w:rsidRPr="001433A9" w:rsidRDefault="00C82253" w:rsidP="00292C9F">
      <w:pPr>
        <w:widowControl w:val="0"/>
        <w:spacing w:line="480" w:lineRule="auto"/>
        <w:ind w:firstLine="720"/>
        <w:rPr>
          <w:color w:val="000000" w:themeColor="text1"/>
        </w:rPr>
      </w:pPr>
      <w:r w:rsidRPr="001433A9">
        <w:rPr>
          <w:color w:val="000000" w:themeColor="text1"/>
        </w:rPr>
        <w:t>Our finding that just 35% of studies reported race and 33% reported ethnicity is</w:t>
      </w:r>
      <w:r w:rsidR="007F6BB7" w:rsidRPr="001433A9">
        <w:rPr>
          <w:color w:val="000000" w:themeColor="text1"/>
        </w:rPr>
        <w:t xml:space="preserve"> </w:t>
      </w:r>
      <w:r w:rsidRPr="001433A9">
        <w:rPr>
          <w:color w:val="000000" w:themeColor="text1"/>
        </w:rPr>
        <w:t xml:space="preserve">consistent with findings in other systematic reviews of autism research. </w:t>
      </w:r>
      <w:r w:rsidRPr="001433A9">
        <w:rPr>
          <w:noProof/>
          <w:color w:val="000000" w:themeColor="text1"/>
        </w:rPr>
        <w:t>Steinbrenner et al. (2022)</w:t>
      </w:r>
      <w:r w:rsidRPr="001433A9">
        <w:rPr>
          <w:color w:val="000000" w:themeColor="text1"/>
        </w:rPr>
        <w:t xml:space="preserve"> found that only 25% of autism intervention studies from 1990 to 2017 reported </w:t>
      </w:r>
      <w:r w:rsidRPr="001433A9">
        <w:rPr>
          <w:i/>
          <w:color w:val="000000" w:themeColor="text1"/>
        </w:rPr>
        <w:t>any</w:t>
      </w:r>
      <w:r w:rsidRPr="001433A9">
        <w:rPr>
          <w:color w:val="000000" w:themeColor="text1"/>
        </w:rPr>
        <w:t xml:space="preserve"> information on race and ethnicity, with a similar reporting rate of 18% of studies in evidence-based practices for autistic individuals in </w:t>
      </w:r>
      <w:r w:rsidRPr="001433A9">
        <w:rPr>
          <w:noProof/>
          <w:color w:val="000000" w:themeColor="text1"/>
        </w:rPr>
        <w:t>West et al. (2016)</w:t>
      </w:r>
      <w:r w:rsidRPr="001433A9">
        <w:rPr>
          <w:color w:val="000000" w:themeColor="text1"/>
        </w:rPr>
        <w:t xml:space="preserve">. In contrast to similarities for the </w:t>
      </w:r>
      <w:r w:rsidRPr="001433A9">
        <w:rPr>
          <w:color w:val="000000" w:themeColor="text1"/>
        </w:rPr>
        <w:lastRenderedPageBreak/>
        <w:t xml:space="preserve">reporting of race and ethnicity across reviews, the inclusion of minoritized participants for studies reporting race and ethnicity was lower in this review. Compared to </w:t>
      </w:r>
      <w:r w:rsidRPr="001433A9">
        <w:rPr>
          <w:noProof/>
          <w:color w:val="000000" w:themeColor="text1"/>
        </w:rPr>
        <w:t>Steinbrenner et al. (2022)</w:t>
      </w:r>
      <w:r w:rsidRPr="001433A9">
        <w:rPr>
          <w:color w:val="000000" w:themeColor="text1"/>
        </w:rPr>
        <w:t xml:space="preserve"> and </w:t>
      </w:r>
      <w:r w:rsidRPr="001433A9">
        <w:rPr>
          <w:noProof/>
          <w:color w:val="000000" w:themeColor="text1"/>
        </w:rPr>
        <w:t>West et al. (2016)</w:t>
      </w:r>
      <w:r w:rsidRPr="001433A9">
        <w:rPr>
          <w:color w:val="000000" w:themeColor="text1"/>
        </w:rPr>
        <w:t xml:space="preserve">, white participants comprised 77% of all participants (versus 64.8% and 63.5%, respectively), Asians 0.7% (versus 6.4% and 5.2%, respectively), and Hispanic/Latinx (7.9% in this review versus 9.4% and 2.5% respectively). Rates were more similar for Black participants (6.2% in this review versus 7.7% and 6.8% respectively). One explanation for these differences is that studies of evidence-based practices and educational interventions, which </w:t>
      </w:r>
      <w:r w:rsidRPr="001433A9">
        <w:rPr>
          <w:noProof/>
          <w:color w:val="000000" w:themeColor="text1"/>
        </w:rPr>
        <w:t>Steinbrenner et al. (2022)</w:t>
      </w:r>
      <w:r w:rsidRPr="001433A9">
        <w:rPr>
          <w:color w:val="000000" w:themeColor="text1"/>
        </w:rPr>
        <w:t xml:space="preserve"> and </w:t>
      </w:r>
      <w:r w:rsidRPr="001433A9">
        <w:rPr>
          <w:noProof/>
          <w:color w:val="000000" w:themeColor="text1"/>
        </w:rPr>
        <w:t>West et al. (2016)</w:t>
      </w:r>
      <w:r w:rsidRPr="001433A9">
        <w:rPr>
          <w:color w:val="000000" w:themeColor="text1"/>
        </w:rPr>
        <w:t xml:space="preserve"> reviewed, may be more likely to take place in clinical or educational settings serving more diverse samples than LI in autism studies, which may be more likely to take place in research versus clinical or educational</w:t>
      </w:r>
      <w:r w:rsidR="007F6BB7" w:rsidRPr="001433A9">
        <w:rPr>
          <w:color w:val="000000" w:themeColor="text1"/>
        </w:rPr>
        <w:t xml:space="preserve"> </w:t>
      </w:r>
      <w:r w:rsidRPr="001433A9">
        <w:rPr>
          <w:color w:val="000000" w:themeColor="text1"/>
        </w:rPr>
        <w:t>settings. In all, the findings of this review, juxtaposed against other reviews, indicate a persistent</w:t>
      </w:r>
      <w:r w:rsidR="007F6BB7" w:rsidRPr="001433A9">
        <w:rPr>
          <w:color w:val="000000" w:themeColor="text1"/>
        </w:rPr>
        <w:t xml:space="preserve"> </w:t>
      </w:r>
      <w:r w:rsidRPr="001433A9">
        <w:rPr>
          <w:color w:val="000000" w:themeColor="text1"/>
        </w:rPr>
        <w:t xml:space="preserve">minoritization of autistic individuals, who represent a global majority. </w:t>
      </w:r>
    </w:p>
    <w:p w14:paraId="7DD221E9" w14:textId="1E1D8515" w:rsidR="00F044F3" w:rsidRPr="001433A9" w:rsidRDefault="00997980" w:rsidP="00851E32">
      <w:pPr>
        <w:widowControl w:val="0"/>
        <w:spacing w:line="480" w:lineRule="auto"/>
        <w:ind w:firstLine="720"/>
        <w:rPr>
          <w:color w:val="000000" w:themeColor="text1"/>
        </w:rPr>
      </w:pPr>
      <w:r w:rsidRPr="001433A9">
        <w:rPr>
          <w:color w:val="000000" w:themeColor="text1"/>
        </w:rPr>
        <w:t>Another</w:t>
      </w:r>
      <w:r w:rsidR="002A1C03" w:rsidRPr="001433A9">
        <w:rPr>
          <w:color w:val="000000" w:themeColor="text1"/>
        </w:rPr>
        <w:t xml:space="preserve"> consideration in interpreting our findings</w:t>
      </w:r>
      <w:r w:rsidRPr="001433A9">
        <w:rPr>
          <w:color w:val="000000" w:themeColor="text1"/>
        </w:rPr>
        <w:t xml:space="preserve"> is how DisCrit </w:t>
      </w:r>
      <w:r w:rsidR="00654C67" w:rsidRPr="001433A9">
        <w:rPr>
          <w:color w:val="000000" w:themeColor="text1"/>
        </w:rPr>
        <w:t xml:space="preserve">and intersectionality </w:t>
      </w:r>
      <w:r w:rsidRPr="001433A9">
        <w:rPr>
          <w:color w:val="000000" w:themeColor="text1"/>
        </w:rPr>
        <w:t xml:space="preserve">relate to underreporting and </w:t>
      </w:r>
      <w:r w:rsidR="00654C67" w:rsidRPr="001433A9">
        <w:rPr>
          <w:color w:val="000000" w:themeColor="text1"/>
        </w:rPr>
        <w:t>exclusion</w:t>
      </w:r>
      <w:r w:rsidR="00C82253" w:rsidRPr="001433A9">
        <w:rPr>
          <w:color w:val="000000" w:themeColor="text1"/>
        </w:rPr>
        <w:t>.</w:t>
      </w:r>
      <w:r w:rsidRPr="001433A9">
        <w:rPr>
          <w:color w:val="000000" w:themeColor="text1"/>
        </w:rPr>
        <w:t xml:space="preserve"> That is, </w:t>
      </w:r>
      <w:r w:rsidR="002D1BF6" w:rsidRPr="001433A9">
        <w:rPr>
          <w:color w:val="000000" w:themeColor="text1"/>
        </w:rPr>
        <w:t xml:space="preserve">there are counternarratives to explaining these practices versus simply advocating for more equitable representation of autistic REM in this area of research. </w:t>
      </w:r>
      <w:r w:rsidR="00BB3976" w:rsidRPr="001433A9">
        <w:rPr>
          <w:color w:val="000000" w:themeColor="text1"/>
        </w:rPr>
        <w:t xml:space="preserve">Underreporting devalues </w:t>
      </w:r>
      <w:r w:rsidR="002D1BF6" w:rsidRPr="001433A9">
        <w:rPr>
          <w:color w:val="000000" w:themeColor="text1"/>
        </w:rPr>
        <w:t xml:space="preserve">participant identities associated with minoritization </w:t>
      </w:r>
      <w:r w:rsidR="00BB3976" w:rsidRPr="001433A9">
        <w:rPr>
          <w:color w:val="000000" w:themeColor="text1"/>
        </w:rPr>
        <w:t xml:space="preserve">as relevant to </w:t>
      </w:r>
      <w:r w:rsidR="006C2707" w:rsidRPr="001433A9">
        <w:rPr>
          <w:color w:val="000000" w:themeColor="text1"/>
        </w:rPr>
        <w:t>understanding language in autism</w:t>
      </w:r>
      <w:r w:rsidR="00BB3976" w:rsidRPr="001433A9">
        <w:rPr>
          <w:color w:val="000000" w:themeColor="text1"/>
        </w:rPr>
        <w:t xml:space="preserve"> and reifies white autistic individuals</w:t>
      </w:r>
      <w:r w:rsidR="006C2707" w:rsidRPr="001433A9">
        <w:rPr>
          <w:color w:val="000000" w:themeColor="text1"/>
        </w:rPr>
        <w:t xml:space="preserve"> </w:t>
      </w:r>
      <w:r w:rsidR="00BB3976" w:rsidRPr="001433A9">
        <w:rPr>
          <w:color w:val="000000" w:themeColor="text1"/>
        </w:rPr>
        <w:t>as the norm (Cosgrove et al., 2022; Girolamo et al., 2022</w:t>
      </w:r>
      <w:r w:rsidR="00FD1130" w:rsidRPr="001433A9">
        <w:rPr>
          <w:color w:val="000000" w:themeColor="text1"/>
        </w:rPr>
        <w:t>c</w:t>
      </w:r>
      <w:r w:rsidR="006C2707" w:rsidRPr="001433A9">
        <w:rPr>
          <w:color w:val="000000" w:themeColor="text1"/>
        </w:rPr>
        <w:t>; Malone et al., 2022</w:t>
      </w:r>
      <w:r w:rsidR="001D32CA" w:rsidRPr="001433A9">
        <w:rPr>
          <w:color w:val="000000" w:themeColor="text1"/>
        </w:rPr>
        <w:t>; Roberts et al., 2022</w:t>
      </w:r>
      <w:r w:rsidR="00BB3976" w:rsidRPr="001433A9">
        <w:rPr>
          <w:color w:val="000000" w:themeColor="text1"/>
        </w:rPr>
        <w:t xml:space="preserve">). </w:t>
      </w:r>
      <w:r w:rsidR="001549DE" w:rsidRPr="001433A9">
        <w:rPr>
          <w:color w:val="000000" w:themeColor="text1"/>
        </w:rPr>
        <w:t>Consistent with the arguments of Annamma and colleagues (2017), o</w:t>
      </w:r>
      <w:r w:rsidR="00B2369D" w:rsidRPr="001433A9">
        <w:rPr>
          <w:color w:val="000000" w:themeColor="text1"/>
        </w:rPr>
        <w:t xml:space="preserve">mission of these characteristics </w:t>
      </w:r>
      <w:r w:rsidR="004D4553" w:rsidRPr="001433A9">
        <w:rPr>
          <w:color w:val="000000" w:themeColor="text1"/>
        </w:rPr>
        <w:t xml:space="preserve">signifies that </w:t>
      </w:r>
      <w:r w:rsidR="001549DE" w:rsidRPr="001433A9">
        <w:rPr>
          <w:color w:val="000000" w:themeColor="text1"/>
        </w:rPr>
        <w:t>colorblindness</w:t>
      </w:r>
      <w:r w:rsidR="004D4553" w:rsidRPr="001433A9">
        <w:rPr>
          <w:color w:val="000000" w:themeColor="text1"/>
        </w:rPr>
        <w:t xml:space="preserve"> is scientifically permissible</w:t>
      </w:r>
      <w:r w:rsidR="004B6C84" w:rsidRPr="001433A9">
        <w:rPr>
          <w:color w:val="000000" w:themeColor="text1"/>
        </w:rPr>
        <w:t xml:space="preserve"> and that</w:t>
      </w:r>
      <w:r w:rsidR="009566D5" w:rsidRPr="001433A9">
        <w:rPr>
          <w:color w:val="000000" w:themeColor="text1"/>
        </w:rPr>
        <w:t xml:space="preserve"> </w:t>
      </w:r>
      <w:r w:rsidR="0066111D" w:rsidRPr="001433A9">
        <w:rPr>
          <w:color w:val="000000" w:themeColor="text1"/>
        </w:rPr>
        <w:t>racial equity</w:t>
      </w:r>
      <w:r w:rsidR="00654C67" w:rsidRPr="001433A9">
        <w:rPr>
          <w:color w:val="000000" w:themeColor="text1"/>
        </w:rPr>
        <w:t xml:space="preserve"> </w:t>
      </w:r>
      <w:r w:rsidR="004B6C84" w:rsidRPr="001433A9">
        <w:rPr>
          <w:color w:val="000000" w:themeColor="text1"/>
        </w:rPr>
        <w:t>is not</w:t>
      </w:r>
      <w:r w:rsidR="00654C67" w:rsidRPr="001433A9">
        <w:rPr>
          <w:color w:val="000000" w:themeColor="text1"/>
        </w:rPr>
        <w:t xml:space="preserve"> </w:t>
      </w:r>
      <w:r w:rsidR="0066111D" w:rsidRPr="001433A9">
        <w:rPr>
          <w:color w:val="000000" w:themeColor="text1"/>
        </w:rPr>
        <w:t>a priority</w:t>
      </w:r>
      <w:r w:rsidR="009566D5" w:rsidRPr="001433A9">
        <w:rPr>
          <w:color w:val="000000" w:themeColor="text1"/>
        </w:rPr>
        <w:t xml:space="preserve"> </w:t>
      </w:r>
      <w:r w:rsidR="004B6C84" w:rsidRPr="001433A9">
        <w:rPr>
          <w:color w:val="000000" w:themeColor="text1"/>
        </w:rPr>
        <w:t xml:space="preserve">in </w:t>
      </w:r>
      <w:r w:rsidR="009566D5" w:rsidRPr="001433A9">
        <w:rPr>
          <w:color w:val="000000" w:themeColor="text1"/>
        </w:rPr>
        <w:t xml:space="preserve">autism research. </w:t>
      </w:r>
    </w:p>
    <w:p w14:paraId="70285B43" w14:textId="320760D3" w:rsidR="00C82253" w:rsidRPr="001433A9" w:rsidRDefault="00F044F3" w:rsidP="00851E32">
      <w:pPr>
        <w:widowControl w:val="0"/>
        <w:spacing w:line="480" w:lineRule="auto"/>
        <w:ind w:firstLine="720"/>
        <w:rPr>
          <w:color w:val="000000" w:themeColor="text1"/>
        </w:rPr>
      </w:pPr>
      <w:r w:rsidRPr="001433A9">
        <w:rPr>
          <w:color w:val="000000" w:themeColor="text1"/>
        </w:rPr>
        <w:t>If autism research as a field is to break</w:t>
      </w:r>
      <w:r w:rsidR="00147EF0" w:rsidRPr="001433A9">
        <w:rPr>
          <w:color w:val="000000" w:themeColor="text1"/>
        </w:rPr>
        <w:t xml:space="preserve"> the cycle of minoritization</w:t>
      </w:r>
      <w:r w:rsidRPr="001433A9">
        <w:rPr>
          <w:color w:val="000000" w:themeColor="text1"/>
        </w:rPr>
        <w:t>, it must be</w:t>
      </w:r>
      <w:r w:rsidR="00147EF0" w:rsidRPr="001433A9">
        <w:rPr>
          <w:color w:val="000000" w:themeColor="text1"/>
        </w:rPr>
        <w:t xml:space="preserve"> honest about the extent to which diversity is valued </w:t>
      </w:r>
      <w:r w:rsidR="00B2369D" w:rsidRPr="001433A9">
        <w:rPr>
          <w:color w:val="000000" w:themeColor="text1"/>
        </w:rPr>
        <w:t xml:space="preserve">(Wilton et al., 2020). </w:t>
      </w:r>
      <w:r w:rsidR="004D4553" w:rsidRPr="001433A9">
        <w:rPr>
          <w:color w:val="000000" w:themeColor="text1"/>
        </w:rPr>
        <w:t xml:space="preserve">This requires engaging </w:t>
      </w:r>
      <w:r w:rsidR="004D4553" w:rsidRPr="001433A9">
        <w:rPr>
          <w:color w:val="000000" w:themeColor="text1"/>
        </w:rPr>
        <w:lastRenderedPageBreak/>
        <w:t>authentically with communities and show</w:t>
      </w:r>
      <w:r w:rsidR="007266E4" w:rsidRPr="001433A9">
        <w:rPr>
          <w:color w:val="000000" w:themeColor="text1"/>
        </w:rPr>
        <w:t>ing</w:t>
      </w:r>
      <w:r w:rsidR="004D4553" w:rsidRPr="001433A9">
        <w:rPr>
          <w:color w:val="000000" w:themeColor="text1"/>
        </w:rPr>
        <w:t xml:space="preserve"> genuine reciprocity. </w:t>
      </w:r>
      <w:r w:rsidR="00204648" w:rsidRPr="001433A9">
        <w:rPr>
          <w:color w:val="000000" w:themeColor="text1"/>
        </w:rPr>
        <w:t xml:space="preserve">For instance, simply checking to see that a research team includes autistic REM who publicly discloses their diagnosis risks </w:t>
      </w:r>
      <w:r w:rsidR="007266E4" w:rsidRPr="001433A9">
        <w:rPr>
          <w:color w:val="000000" w:themeColor="text1"/>
        </w:rPr>
        <w:t>tokenization</w:t>
      </w:r>
      <w:r w:rsidR="00204648" w:rsidRPr="001433A9">
        <w:rPr>
          <w:color w:val="000000" w:themeColor="text1"/>
        </w:rPr>
        <w:t xml:space="preserve">. </w:t>
      </w:r>
      <w:r w:rsidR="00173690" w:rsidRPr="001433A9">
        <w:rPr>
          <w:color w:val="000000" w:themeColor="text1"/>
        </w:rPr>
        <w:t>W</w:t>
      </w:r>
      <w:r w:rsidR="00204648" w:rsidRPr="001433A9">
        <w:rPr>
          <w:color w:val="000000" w:themeColor="text1"/>
        </w:rPr>
        <w:t xml:space="preserve">hile perceptions about race </w:t>
      </w:r>
      <w:r w:rsidR="00882F3B" w:rsidRPr="001433A9">
        <w:rPr>
          <w:color w:val="000000" w:themeColor="text1"/>
        </w:rPr>
        <w:t>largely</w:t>
      </w:r>
      <w:r w:rsidR="00204648" w:rsidRPr="001433A9">
        <w:rPr>
          <w:color w:val="000000" w:themeColor="text1"/>
        </w:rPr>
        <w:t xml:space="preserve"> depend upon physical appearance (Malone et al., 2022), </w:t>
      </w:r>
      <w:r w:rsidR="0066111D" w:rsidRPr="001433A9">
        <w:rPr>
          <w:color w:val="000000" w:themeColor="text1"/>
        </w:rPr>
        <w:t>dis/ability</w:t>
      </w:r>
      <w:r w:rsidR="00204648" w:rsidRPr="001433A9">
        <w:rPr>
          <w:color w:val="000000" w:themeColor="text1"/>
        </w:rPr>
        <w:t xml:space="preserve"> may not be readily apparent. </w:t>
      </w:r>
      <w:r w:rsidR="007266E4" w:rsidRPr="001433A9">
        <w:rPr>
          <w:color w:val="000000" w:themeColor="text1"/>
        </w:rPr>
        <w:t>Attempts to show c</w:t>
      </w:r>
      <w:r w:rsidR="00204648" w:rsidRPr="001433A9">
        <w:rPr>
          <w:color w:val="000000" w:themeColor="text1"/>
        </w:rPr>
        <w:t xml:space="preserve">ultural sensitivity must similarly avoid tokenization. </w:t>
      </w:r>
      <w:r w:rsidR="00654A83" w:rsidRPr="001433A9">
        <w:rPr>
          <w:color w:val="000000" w:themeColor="text1"/>
        </w:rPr>
        <w:t>F</w:t>
      </w:r>
      <w:r w:rsidR="00204648" w:rsidRPr="001433A9">
        <w:rPr>
          <w:color w:val="000000" w:themeColor="text1"/>
        </w:rPr>
        <w:t xml:space="preserve">or example, </w:t>
      </w:r>
      <w:r w:rsidR="00292C9F" w:rsidRPr="001433A9">
        <w:rPr>
          <w:color w:val="000000" w:themeColor="text1"/>
        </w:rPr>
        <w:t xml:space="preserve">assuming that </w:t>
      </w:r>
      <w:r w:rsidR="00654A83" w:rsidRPr="001433A9">
        <w:rPr>
          <w:color w:val="000000" w:themeColor="text1"/>
        </w:rPr>
        <w:t xml:space="preserve">hanging African flags on walls when working with </w:t>
      </w:r>
      <w:r w:rsidR="00292C9F" w:rsidRPr="001433A9">
        <w:rPr>
          <w:color w:val="000000" w:themeColor="text1"/>
        </w:rPr>
        <w:t>African American</w:t>
      </w:r>
      <w:r w:rsidR="00654A83" w:rsidRPr="001433A9">
        <w:rPr>
          <w:color w:val="000000" w:themeColor="text1"/>
        </w:rPr>
        <w:t xml:space="preserve"> autistic children who </w:t>
      </w:r>
      <w:r w:rsidR="0066111D" w:rsidRPr="001433A9">
        <w:rPr>
          <w:color w:val="000000" w:themeColor="text1"/>
        </w:rPr>
        <w:t>do</w:t>
      </w:r>
      <w:r w:rsidR="00654A83" w:rsidRPr="001433A9">
        <w:rPr>
          <w:color w:val="000000" w:themeColor="text1"/>
        </w:rPr>
        <w:t xml:space="preserve"> no</w:t>
      </w:r>
      <w:r w:rsidR="00654C67" w:rsidRPr="001433A9">
        <w:rPr>
          <w:color w:val="000000" w:themeColor="text1"/>
        </w:rPr>
        <w:t>t</w:t>
      </w:r>
      <w:r w:rsidR="001019E9" w:rsidRPr="001433A9">
        <w:rPr>
          <w:color w:val="000000" w:themeColor="text1"/>
        </w:rPr>
        <w:t xml:space="preserve"> identify as</w:t>
      </w:r>
      <w:r w:rsidR="00654A83" w:rsidRPr="001433A9">
        <w:rPr>
          <w:color w:val="000000" w:themeColor="text1"/>
        </w:rPr>
        <w:t xml:space="preserve"> African and U.S. flags for white autistic children </w:t>
      </w:r>
      <w:r w:rsidR="00292C9F" w:rsidRPr="001433A9">
        <w:rPr>
          <w:color w:val="000000" w:themeColor="text1"/>
        </w:rPr>
        <w:t xml:space="preserve">is a culturally responsive research practice versus learning from communities themselves </w:t>
      </w:r>
      <w:r w:rsidR="00B579B9" w:rsidRPr="001433A9">
        <w:rPr>
          <w:color w:val="000000" w:themeColor="text1"/>
        </w:rPr>
        <w:t>reduces</w:t>
      </w:r>
      <w:r w:rsidR="00654A83" w:rsidRPr="001433A9">
        <w:rPr>
          <w:color w:val="000000" w:themeColor="text1"/>
        </w:rPr>
        <w:t xml:space="preserve"> heterogeneity to </w:t>
      </w:r>
      <w:r w:rsidR="00B579B9" w:rsidRPr="001433A9">
        <w:rPr>
          <w:color w:val="000000" w:themeColor="text1"/>
        </w:rPr>
        <w:t>racist</w:t>
      </w:r>
      <w:r w:rsidR="00654A83" w:rsidRPr="001433A9">
        <w:rPr>
          <w:color w:val="000000" w:themeColor="text1"/>
        </w:rPr>
        <w:t xml:space="preserve"> assumptions about identity. </w:t>
      </w:r>
      <w:r w:rsidR="0066111D" w:rsidRPr="001433A9">
        <w:rPr>
          <w:color w:val="000000" w:themeColor="text1"/>
        </w:rPr>
        <w:t>Reciprocity</w:t>
      </w:r>
      <w:r w:rsidR="00204648" w:rsidRPr="001433A9">
        <w:rPr>
          <w:color w:val="000000" w:themeColor="text1"/>
        </w:rPr>
        <w:t xml:space="preserve"> requires being in community </w:t>
      </w:r>
      <w:r w:rsidR="008A39CD" w:rsidRPr="001433A9">
        <w:rPr>
          <w:color w:val="000000" w:themeColor="text1"/>
        </w:rPr>
        <w:t xml:space="preserve">with autistic REM </w:t>
      </w:r>
      <w:r w:rsidR="001019E9" w:rsidRPr="001433A9">
        <w:rPr>
          <w:color w:val="000000" w:themeColor="text1"/>
        </w:rPr>
        <w:t>(Malone et al., 2022)</w:t>
      </w:r>
      <w:r w:rsidR="00204648" w:rsidRPr="001433A9">
        <w:rPr>
          <w:color w:val="000000" w:themeColor="text1"/>
        </w:rPr>
        <w:t xml:space="preserve">, </w:t>
      </w:r>
      <w:r w:rsidR="009B4B1B" w:rsidRPr="001433A9">
        <w:rPr>
          <w:color w:val="000000" w:themeColor="text1"/>
        </w:rPr>
        <w:t xml:space="preserve">and </w:t>
      </w:r>
      <w:r w:rsidR="00204648" w:rsidRPr="001433A9">
        <w:rPr>
          <w:color w:val="000000" w:themeColor="text1"/>
        </w:rPr>
        <w:t xml:space="preserve">moving toward systemic change where community-engaged </w:t>
      </w:r>
      <w:r w:rsidR="001D32CA" w:rsidRPr="001433A9">
        <w:rPr>
          <w:color w:val="000000" w:themeColor="text1"/>
        </w:rPr>
        <w:t xml:space="preserve">autism </w:t>
      </w:r>
      <w:r w:rsidR="00204648" w:rsidRPr="001433A9">
        <w:rPr>
          <w:color w:val="000000" w:themeColor="text1"/>
        </w:rPr>
        <w:t xml:space="preserve">research does not depend upon </w:t>
      </w:r>
      <w:r w:rsidR="001D32CA" w:rsidRPr="001433A9">
        <w:rPr>
          <w:color w:val="000000" w:themeColor="text1"/>
        </w:rPr>
        <w:t xml:space="preserve">autistic REM taking on the labor of making </w:t>
      </w:r>
      <w:r w:rsidR="0066111D" w:rsidRPr="001433A9">
        <w:rPr>
          <w:color w:val="000000" w:themeColor="text1"/>
        </w:rPr>
        <w:t xml:space="preserve">each </w:t>
      </w:r>
      <w:r w:rsidR="001D32CA" w:rsidRPr="001433A9">
        <w:rPr>
          <w:color w:val="000000" w:themeColor="text1"/>
        </w:rPr>
        <w:t xml:space="preserve">identity </w:t>
      </w:r>
      <w:r w:rsidR="009B7605" w:rsidRPr="001433A9">
        <w:rPr>
          <w:color w:val="000000" w:themeColor="text1"/>
        </w:rPr>
        <w:t xml:space="preserve">publicly </w:t>
      </w:r>
      <w:r w:rsidR="001D32CA" w:rsidRPr="001433A9">
        <w:rPr>
          <w:color w:val="000000" w:themeColor="text1"/>
        </w:rPr>
        <w:t xml:space="preserve">available. </w:t>
      </w:r>
      <w:r w:rsidR="00C82253" w:rsidRPr="001433A9">
        <w:rPr>
          <w:color w:val="000000" w:themeColor="text1"/>
        </w:rPr>
        <w:t xml:space="preserve">In </w:t>
      </w:r>
      <w:r w:rsidR="00654C67" w:rsidRPr="001433A9">
        <w:rPr>
          <w:color w:val="000000" w:themeColor="text1"/>
        </w:rPr>
        <w:t>this</w:t>
      </w:r>
      <w:r w:rsidR="00C82253" w:rsidRPr="001433A9">
        <w:rPr>
          <w:color w:val="000000" w:themeColor="text1"/>
        </w:rPr>
        <w:t xml:space="preserve"> review, language in autism studies </w:t>
      </w:r>
      <w:r w:rsidR="00654C67" w:rsidRPr="001433A9">
        <w:rPr>
          <w:color w:val="000000" w:themeColor="text1"/>
        </w:rPr>
        <w:t xml:space="preserve">pertaining to LI </w:t>
      </w:r>
      <w:r w:rsidR="00C82253" w:rsidRPr="001433A9">
        <w:rPr>
          <w:color w:val="000000" w:themeColor="text1"/>
        </w:rPr>
        <w:t>must</w:t>
      </w:r>
      <w:r w:rsidR="00C82253" w:rsidRPr="001433A9">
        <w:rPr>
          <w:i/>
          <w:iCs/>
          <w:color w:val="000000" w:themeColor="text1"/>
        </w:rPr>
        <w:t xml:space="preserve"> </w:t>
      </w:r>
      <w:r w:rsidR="00C82253" w:rsidRPr="001433A9">
        <w:rPr>
          <w:color w:val="000000" w:themeColor="text1"/>
        </w:rPr>
        <w:t>be framed through a lens of limited generalizability</w:t>
      </w:r>
      <w:r w:rsidR="001019E9" w:rsidRPr="001433A9">
        <w:rPr>
          <w:color w:val="000000" w:themeColor="text1"/>
        </w:rPr>
        <w:t xml:space="preserve"> and skepticism about the valuation of sociodemographic diversity in research</w:t>
      </w:r>
      <w:r w:rsidR="00C82253" w:rsidRPr="001433A9">
        <w:rPr>
          <w:color w:val="000000" w:themeColor="text1"/>
        </w:rPr>
        <w:t>.</w:t>
      </w:r>
    </w:p>
    <w:p w14:paraId="57421F3C" w14:textId="77777777" w:rsidR="00C82253" w:rsidRPr="001433A9" w:rsidRDefault="00C82253" w:rsidP="00851E32">
      <w:pPr>
        <w:widowControl w:val="0"/>
        <w:spacing w:line="480" w:lineRule="auto"/>
        <w:rPr>
          <w:b/>
          <w:bCs/>
          <w:color w:val="000000" w:themeColor="text1"/>
        </w:rPr>
      </w:pPr>
      <w:r w:rsidRPr="001433A9">
        <w:rPr>
          <w:b/>
          <w:bCs/>
          <w:color w:val="000000" w:themeColor="text1"/>
        </w:rPr>
        <w:t>Limitations</w:t>
      </w:r>
    </w:p>
    <w:p w14:paraId="12748BD8" w14:textId="290D25D3" w:rsidR="0072194A" w:rsidRPr="001433A9" w:rsidRDefault="00C82253" w:rsidP="007909EB">
      <w:pPr>
        <w:widowControl w:val="0"/>
        <w:spacing w:line="480" w:lineRule="auto"/>
        <w:ind w:firstLine="720"/>
        <w:rPr>
          <w:color w:val="000000" w:themeColor="text1"/>
        </w:rPr>
      </w:pPr>
      <w:r w:rsidRPr="001433A9">
        <w:rPr>
          <w:color w:val="000000" w:themeColor="text1"/>
        </w:rPr>
        <w:t>Though this review of participant sociodemographics is only a first step in examining</w:t>
      </w:r>
      <w:r w:rsidR="009B4B1B" w:rsidRPr="001433A9">
        <w:rPr>
          <w:color w:val="000000" w:themeColor="text1"/>
        </w:rPr>
        <w:t xml:space="preserve"> </w:t>
      </w:r>
      <w:r w:rsidRPr="001433A9">
        <w:rPr>
          <w:color w:val="000000" w:themeColor="text1"/>
        </w:rPr>
        <w:t>dimensions of underrepresentation, it is not without its limitations. First, the literature search</w:t>
      </w:r>
      <w:r w:rsidR="009B4B1B" w:rsidRPr="001433A9">
        <w:rPr>
          <w:color w:val="000000" w:themeColor="text1"/>
        </w:rPr>
        <w:t xml:space="preserve"> </w:t>
      </w:r>
      <w:r w:rsidRPr="001433A9">
        <w:rPr>
          <w:color w:val="000000" w:themeColor="text1"/>
        </w:rPr>
        <w:t>may have been insufficiently comprehensive. For example, autistic individuals may have had</w:t>
      </w:r>
      <w:r w:rsidR="009B4B1B" w:rsidRPr="001433A9">
        <w:rPr>
          <w:color w:val="000000" w:themeColor="text1"/>
        </w:rPr>
        <w:t xml:space="preserve"> </w:t>
      </w:r>
      <w:r w:rsidRPr="001433A9">
        <w:rPr>
          <w:color w:val="000000" w:themeColor="text1"/>
        </w:rPr>
        <w:t>other diagnoses, such as intellectual disability (formerly called “mental retardation”), especially</w:t>
      </w:r>
      <w:r w:rsidR="009B4B1B" w:rsidRPr="001433A9">
        <w:rPr>
          <w:color w:val="000000" w:themeColor="text1"/>
        </w:rPr>
        <w:t xml:space="preserve"> </w:t>
      </w:r>
      <w:r w:rsidRPr="001433A9">
        <w:rPr>
          <w:color w:val="000000" w:themeColor="text1"/>
        </w:rPr>
        <w:t xml:space="preserve">in earlier studies </w:t>
      </w:r>
      <w:r w:rsidRPr="001433A9">
        <w:rPr>
          <w:noProof/>
          <w:color w:val="000000" w:themeColor="text1"/>
        </w:rPr>
        <w:t>(Croen et al., 2002)</w:t>
      </w:r>
      <w:r w:rsidRPr="001433A9">
        <w:rPr>
          <w:color w:val="000000" w:themeColor="text1"/>
        </w:rPr>
        <w:t>. Of course, retroactively diagnosing potentially autistic</w:t>
      </w:r>
      <w:r w:rsidR="009B4B1B" w:rsidRPr="001433A9">
        <w:rPr>
          <w:color w:val="000000" w:themeColor="text1"/>
        </w:rPr>
        <w:t xml:space="preserve"> </w:t>
      </w:r>
      <w:r w:rsidRPr="001433A9">
        <w:rPr>
          <w:color w:val="000000" w:themeColor="text1"/>
        </w:rPr>
        <w:t xml:space="preserve">individuals </w:t>
      </w:r>
      <w:proofErr w:type="gramStart"/>
      <w:r w:rsidRPr="001433A9">
        <w:rPr>
          <w:color w:val="000000" w:themeColor="text1"/>
        </w:rPr>
        <w:t>on the basis of</w:t>
      </w:r>
      <w:proofErr w:type="gramEnd"/>
      <w:r w:rsidRPr="001433A9">
        <w:rPr>
          <w:color w:val="000000" w:themeColor="text1"/>
        </w:rPr>
        <w:t xml:space="preserve"> participant characteristics in research reports is not </w:t>
      </w:r>
      <w:r w:rsidR="009B4B1B" w:rsidRPr="001433A9">
        <w:rPr>
          <w:color w:val="000000" w:themeColor="text1"/>
        </w:rPr>
        <w:t>feasible</w:t>
      </w:r>
      <w:r w:rsidRPr="001433A9">
        <w:rPr>
          <w:color w:val="000000" w:themeColor="text1"/>
        </w:rPr>
        <w:t xml:space="preserve">. </w:t>
      </w:r>
    </w:p>
    <w:p w14:paraId="1EB5316B" w14:textId="3A09DE39" w:rsidR="00C82253" w:rsidRPr="001433A9" w:rsidRDefault="00C82253" w:rsidP="0072194A">
      <w:pPr>
        <w:widowControl w:val="0"/>
        <w:spacing w:line="480" w:lineRule="auto"/>
        <w:ind w:firstLine="720"/>
        <w:rPr>
          <w:color w:val="000000" w:themeColor="text1"/>
        </w:rPr>
      </w:pPr>
      <w:r w:rsidRPr="001433A9">
        <w:rPr>
          <w:color w:val="000000" w:themeColor="text1"/>
        </w:rPr>
        <w:t>Second,</w:t>
      </w:r>
      <w:r w:rsidR="0072194A" w:rsidRPr="001433A9">
        <w:rPr>
          <w:color w:val="000000" w:themeColor="text1"/>
        </w:rPr>
        <w:t xml:space="preserve"> </w:t>
      </w:r>
      <w:r w:rsidRPr="001433A9">
        <w:rPr>
          <w:color w:val="000000" w:themeColor="text1"/>
        </w:rPr>
        <w:t xml:space="preserve">this review was limited to studies using age-referenced measures in American English, which means that findings from more diverse samples could be reported elsewhere in the research literature. Nevertheless, given that manifestations of LI can vary </w:t>
      </w:r>
      <w:r w:rsidRPr="001433A9">
        <w:rPr>
          <w:i/>
          <w:iCs/>
          <w:color w:val="000000" w:themeColor="text1"/>
        </w:rPr>
        <w:t xml:space="preserve">by </w:t>
      </w:r>
      <w:r w:rsidR="00654C67" w:rsidRPr="001433A9">
        <w:rPr>
          <w:color w:val="000000" w:themeColor="text1"/>
        </w:rPr>
        <w:t>language</w:t>
      </w:r>
      <w:r w:rsidRPr="001433A9">
        <w:rPr>
          <w:color w:val="000000" w:themeColor="text1"/>
        </w:rPr>
        <w:t xml:space="preserve"> </w:t>
      </w:r>
      <w:r w:rsidRPr="001433A9">
        <w:rPr>
          <w:color w:val="000000" w:themeColor="text1"/>
        </w:rPr>
        <w:lastRenderedPageBreak/>
        <w:t xml:space="preserve">community, it was important to avoid confounding differences in variants of language spoken and languages spoken with LI. Further, assuming a one-to-one correspondence between language community and race/ethnicity is problematic and does not reflect real-world linguistic realities. </w:t>
      </w:r>
      <w:r w:rsidR="002A20FA" w:rsidRPr="001433A9">
        <w:rPr>
          <w:color w:val="000000" w:themeColor="text1"/>
        </w:rPr>
        <w:t>S</w:t>
      </w:r>
      <w:r w:rsidR="00B25B7B" w:rsidRPr="001433A9">
        <w:rPr>
          <w:color w:val="000000" w:themeColor="text1"/>
        </w:rPr>
        <w:t xml:space="preserve">peakers </w:t>
      </w:r>
      <w:r w:rsidR="002A20FA" w:rsidRPr="001433A9">
        <w:rPr>
          <w:color w:val="000000" w:themeColor="text1"/>
        </w:rPr>
        <w:t>who others perceive to be of</w:t>
      </w:r>
      <w:r w:rsidR="00683517" w:rsidRPr="001433A9">
        <w:rPr>
          <w:color w:val="000000" w:themeColor="text1"/>
        </w:rPr>
        <w:t xml:space="preserve"> the same racial category are diverse</w:t>
      </w:r>
      <w:r w:rsidR="00D1609E" w:rsidRPr="001433A9">
        <w:rPr>
          <w:color w:val="000000" w:themeColor="text1"/>
        </w:rPr>
        <w:t xml:space="preserve"> in their language backgrounds</w:t>
      </w:r>
      <w:r w:rsidR="00654C67" w:rsidRPr="001433A9">
        <w:rPr>
          <w:color w:val="000000" w:themeColor="text1"/>
        </w:rPr>
        <w:t xml:space="preserve"> (e.g., Oetting, 2020)</w:t>
      </w:r>
      <w:r w:rsidR="00683517" w:rsidRPr="001433A9">
        <w:rPr>
          <w:color w:val="000000" w:themeColor="text1"/>
        </w:rPr>
        <w:t xml:space="preserve">. </w:t>
      </w:r>
      <w:proofErr w:type="gramStart"/>
      <w:r w:rsidR="009B4B1B" w:rsidRPr="001433A9">
        <w:rPr>
          <w:color w:val="000000" w:themeColor="text1"/>
        </w:rPr>
        <w:t>A</w:t>
      </w:r>
      <w:r w:rsidR="00683517" w:rsidRPr="001433A9">
        <w:rPr>
          <w:color w:val="000000" w:themeColor="text1"/>
        </w:rPr>
        <w:t>ssuming that</w:t>
      </w:r>
      <w:proofErr w:type="gramEnd"/>
      <w:r w:rsidR="00683517" w:rsidRPr="001433A9">
        <w:rPr>
          <w:color w:val="000000" w:themeColor="text1"/>
        </w:rPr>
        <w:t xml:space="preserve"> an Asian person speak</w:t>
      </w:r>
      <w:r w:rsidR="009B4B1B" w:rsidRPr="001433A9">
        <w:rPr>
          <w:color w:val="000000" w:themeColor="text1"/>
        </w:rPr>
        <w:t>s</w:t>
      </w:r>
      <w:r w:rsidR="00683517" w:rsidRPr="001433A9">
        <w:rPr>
          <w:color w:val="000000" w:themeColor="text1"/>
        </w:rPr>
        <w:t xml:space="preserve"> English as an additional </w:t>
      </w:r>
      <w:r w:rsidR="009B4B1B" w:rsidRPr="001433A9">
        <w:rPr>
          <w:color w:val="000000" w:themeColor="text1"/>
        </w:rPr>
        <w:t>rather than</w:t>
      </w:r>
      <w:r w:rsidR="00D1609E" w:rsidRPr="001433A9">
        <w:rPr>
          <w:color w:val="000000" w:themeColor="text1"/>
        </w:rPr>
        <w:t xml:space="preserve"> a first </w:t>
      </w:r>
      <w:r w:rsidR="00683517" w:rsidRPr="001433A9">
        <w:rPr>
          <w:color w:val="000000" w:themeColor="text1"/>
        </w:rPr>
        <w:t xml:space="preserve">language reduces them to </w:t>
      </w:r>
      <w:r w:rsidR="00D1609E" w:rsidRPr="001433A9">
        <w:rPr>
          <w:color w:val="000000" w:themeColor="text1"/>
        </w:rPr>
        <w:t>racial stereotypes</w:t>
      </w:r>
      <w:r w:rsidR="00683517" w:rsidRPr="001433A9">
        <w:rPr>
          <w:color w:val="000000" w:themeColor="text1"/>
        </w:rPr>
        <w:t xml:space="preserve">. </w:t>
      </w:r>
      <w:r w:rsidR="0072194A" w:rsidRPr="001433A9">
        <w:rPr>
          <w:color w:val="000000" w:themeColor="text1"/>
        </w:rPr>
        <w:t>E</w:t>
      </w:r>
      <w:r w:rsidR="00683517" w:rsidRPr="001433A9">
        <w:rPr>
          <w:color w:val="000000" w:themeColor="text1"/>
        </w:rPr>
        <w:t>ven though limiting the review to age-referenced measures in American English</w:t>
      </w:r>
      <w:r w:rsidR="002A20FA" w:rsidRPr="001433A9">
        <w:rPr>
          <w:color w:val="000000" w:themeColor="text1"/>
        </w:rPr>
        <w:t xml:space="preserve"> surely excludes </w:t>
      </w:r>
      <w:r w:rsidR="00D1609E" w:rsidRPr="001433A9">
        <w:rPr>
          <w:i/>
          <w:iCs/>
          <w:color w:val="000000" w:themeColor="text1"/>
        </w:rPr>
        <w:t xml:space="preserve">some </w:t>
      </w:r>
      <w:r w:rsidR="002A20FA" w:rsidRPr="001433A9">
        <w:rPr>
          <w:color w:val="000000" w:themeColor="text1"/>
        </w:rPr>
        <w:t>racially and ethnically minoritized individuals</w:t>
      </w:r>
      <w:r w:rsidR="00683517" w:rsidRPr="001433A9">
        <w:rPr>
          <w:color w:val="000000" w:themeColor="text1"/>
        </w:rPr>
        <w:t>,</w:t>
      </w:r>
      <w:r w:rsidR="002A20FA" w:rsidRPr="001433A9">
        <w:rPr>
          <w:color w:val="000000" w:themeColor="text1"/>
        </w:rPr>
        <w:t xml:space="preserve"> it is </w:t>
      </w:r>
      <w:r w:rsidR="0072194A" w:rsidRPr="001433A9">
        <w:rPr>
          <w:color w:val="000000" w:themeColor="text1"/>
        </w:rPr>
        <w:t xml:space="preserve">nevertheless </w:t>
      </w:r>
      <w:r w:rsidR="002A20FA" w:rsidRPr="001433A9">
        <w:rPr>
          <w:color w:val="000000" w:themeColor="text1"/>
        </w:rPr>
        <w:t>telling that</w:t>
      </w:r>
      <w:r w:rsidR="0072194A" w:rsidRPr="001433A9">
        <w:rPr>
          <w:color w:val="000000" w:themeColor="text1"/>
        </w:rPr>
        <w:t xml:space="preserve"> studies had primarily white samples, and, anecdotally, infrequently justified interpretation and use of test scores for participants in the sample or considered sociodemographic heterogeneity.</w:t>
      </w:r>
      <w:r w:rsidR="00683517" w:rsidRPr="001433A9">
        <w:rPr>
          <w:color w:val="000000" w:themeColor="text1"/>
        </w:rPr>
        <w:t xml:space="preserve"> </w:t>
      </w:r>
      <w:r w:rsidRPr="001433A9">
        <w:rPr>
          <w:color w:val="000000" w:themeColor="text1"/>
        </w:rPr>
        <w:t>Similarly, this review only included reports published in English. Last, underreporting limits any concrete conclusions about inequity</w:t>
      </w:r>
      <w:r w:rsidR="00736227" w:rsidRPr="001433A9">
        <w:rPr>
          <w:color w:val="000000" w:themeColor="text1"/>
        </w:rPr>
        <w:t xml:space="preserve">, as well as </w:t>
      </w:r>
      <w:r w:rsidR="00AB19F9" w:rsidRPr="001433A9">
        <w:rPr>
          <w:color w:val="000000" w:themeColor="text1"/>
        </w:rPr>
        <w:t>utilization of</w:t>
      </w:r>
      <w:r w:rsidR="00736227" w:rsidRPr="001433A9">
        <w:rPr>
          <w:color w:val="000000" w:themeColor="text1"/>
        </w:rPr>
        <w:t xml:space="preserve"> more precise categories </w:t>
      </w:r>
      <w:r w:rsidR="00BD026D" w:rsidRPr="001433A9">
        <w:rPr>
          <w:color w:val="000000" w:themeColor="text1"/>
        </w:rPr>
        <w:t>in</w:t>
      </w:r>
      <w:r w:rsidR="00736227" w:rsidRPr="001433A9">
        <w:rPr>
          <w:color w:val="000000" w:themeColor="text1"/>
        </w:rPr>
        <w:t xml:space="preserve"> evaluation of sociodemographics</w:t>
      </w:r>
      <w:r w:rsidRPr="001433A9">
        <w:rPr>
          <w:color w:val="000000" w:themeColor="text1"/>
        </w:rPr>
        <w:t xml:space="preserve">. </w:t>
      </w:r>
    </w:p>
    <w:p w14:paraId="28358993" w14:textId="7575A6CB" w:rsidR="00C82253" w:rsidRPr="001433A9" w:rsidRDefault="00C82253" w:rsidP="00851E32">
      <w:pPr>
        <w:widowControl w:val="0"/>
        <w:spacing w:line="480" w:lineRule="auto"/>
        <w:rPr>
          <w:b/>
          <w:bCs/>
          <w:color w:val="000000" w:themeColor="text1"/>
        </w:rPr>
      </w:pPr>
      <w:r w:rsidRPr="001433A9">
        <w:rPr>
          <w:b/>
          <w:bCs/>
          <w:color w:val="000000" w:themeColor="text1"/>
        </w:rPr>
        <w:t>Future Research</w:t>
      </w:r>
      <w:r w:rsidR="00680ACB" w:rsidRPr="001433A9">
        <w:rPr>
          <w:b/>
          <w:bCs/>
          <w:color w:val="000000" w:themeColor="text1"/>
        </w:rPr>
        <w:t xml:space="preserve"> and </w:t>
      </w:r>
      <w:r w:rsidR="009A7DE3" w:rsidRPr="001433A9">
        <w:rPr>
          <w:b/>
          <w:bCs/>
          <w:color w:val="000000" w:themeColor="text1"/>
        </w:rPr>
        <w:t>Actions</w:t>
      </w:r>
    </w:p>
    <w:p w14:paraId="28EB8C9E" w14:textId="0726E1A1" w:rsidR="00C82253" w:rsidRPr="001433A9" w:rsidRDefault="00C82253" w:rsidP="007909EB">
      <w:pPr>
        <w:widowControl w:val="0"/>
        <w:spacing w:line="480" w:lineRule="auto"/>
        <w:ind w:firstLine="720"/>
        <w:rPr>
          <w:color w:val="000000" w:themeColor="text1"/>
        </w:rPr>
      </w:pPr>
      <w:r w:rsidRPr="001433A9">
        <w:rPr>
          <w:color w:val="000000" w:themeColor="text1"/>
        </w:rPr>
        <w:t>To advance equity in language in autism research, work must address participant sociodemographics from multiple perspectives. Clearly, reporting guidelines for participant sociodemographics are insufficient</w:t>
      </w:r>
      <w:r w:rsidR="00B83CD6" w:rsidRPr="001433A9">
        <w:rPr>
          <w:color w:val="000000" w:themeColor="text1"/>
        </w:rPr>
        <w:t>, including the absence of validated measures for collecting and summarizing SES information</w:t>
      </w:r>
      <w:r w:rsidRPr="001433A9">
        <w:rPr>
          <w:color w:val="000000" w:themeColor="text1"/>
        </w:rPr>
        <w:t xml:space="preserve">. Current guidelines relevant to LI in autism research literature provide inconsistency in how they conceptualize race, ethnicity, and other dimensions along which research systematically excludes participants </w:t>
      </w:r>
      <w:r w:rsidRPr="001433A9">
        <w:rPr>
          <w:bCs/>
          <w:noProof/>
          <w:color w:val="000000" w:themeColor="text1"/>
        </w:rPr>
        <w:t>(American Psychological Association, 2020, 2021; Flanagin et al., 2021; JAMA Network Editors, 2020)</w:t>
      </w:r>
      <w:r w:rsidRPr="001433A9">
        <w:rPr>
          <w:color w:val="000000" w:themeColor="text1"/>
        </w:rPr>
        <w:t xml:space="preserve">. To encourage inclusivity, development of guidelines should be an iterative process that includes autistic individuals and a wide range of community members, going beyond the input of academic researchers alone </w:t>
      </w:r>
      <w:r w:rsidR="005268A4" w:rsidRPr="001433A9">
        <w:rPr>
          <w:noProof/>
          <w:color w:val="000000" w:themeColor="text1"/>
        </w:rPr>
        <w:lastRenderedPageBreak/>
        <w:t>(</w:t>
      </w:r>
      <w:r w:rsidRPr="001433A9">
        <w:rPr>
          <w:noProof/>
          <w:color w:val="000000" w:themeColor="text1"/>
        </w:rPr>
        <w:t xml:space="preserve">Girolamo et al., </w:t>
      </w:r>
      <w:r w:rsidR="006A517C" w:rsidRPr="001433A9">
        <w:rPr>
          <w:noProof/>
          <w:color w:val="000000" w:themeColor="text1"/>
        </w:rPr>
        <w:t>2022</w:t>
      </w:r>
      <w:r w:rsidR="00FD1130" w:rsidRPr="001433A9">
        <w:rPr>
          <w:noProof/>
          <w:color w:val="000000" w:themeColor="text1"/>
        </w:rPr>
        <w:t>d</w:t>
      </w:r>
      <w:r w:rsidRPr="001433A9">
        <w:rPr>
          <w:noProof/>
          <w:color w:val="000000" w:themeColor="text1"/>
        </w:rPr>
        <w:t>; Jones &amp; Mandell, 2020)</w:t>
      </w:r>
      <w:r w:rsidRPr="001433A9">
        <w:rPr>
          <w:color w:val="000000" w:themeColor="text1"/>
        </w:rPr>
        <w:t>. This process should also center the voices of</w:t>
      </w:r>
      <w:r w:rsidR="00B83CD6" w:rsidRPr="001433A9">
        <w:rPr>
          <w:color w:val="000000" w:themeColor="text1"/>
        </w:rPr>
        <w:t xml:space="preserve"> </w:t>
      </w:r>
      <w:r w:rsidRPr="001433A9">
        <w:rPr>
          <w:color w:val="000000" w:themeColor="text1"/>
        </w:rPr>
        <w:t xml:space="preserve">individuals who are systematically excluded from research. </w:t>
      </w:r>
    </w:p>
    <w:p w14:paraId="6F7E566C" w14:textId="77777777" w:rsidR="00C82253" w:rsidRPr="001433A9" w:rsidRDefault="00C82253" w:rsidP="00851E32">
      <w:pPr>
        <w:widowControl w:val="0"/>
        <w:spacing w:line="480" w:lineRule="auto"/>
        <w:ind w:firstLine="720"/>
        <w:rPr>
          <w:color w:val="000000" w:themeColor="text1"/>
        </w:rPr>
      </w:pPr>
      <w:r w:rsidRPr="001433A9">
        <w:rPr>
          <w:color w:val="000000" w:themeColor="text1"/>
        </w:rPr>
        <w:t xml:space="preserve">In addition, there is a practical need to implement guidelines. Authors may not </w:t>
      </w:r>
      <w:proofErr w:type="gramStart"/>
      <w:r w:rsidRPr="001433A9">
        <w:rPr>
          <w:color w:val="000000" w:themeColor="text1"/>
        </w:rPr>
        <w:t>report</w:t>
      </w:r>
      <w:proofErr w:type="gramEnd"/>
    </w:p>
    <w:p w14:paraId="1A1BE27B" w14:textId="77777777" w:rsidR="00075DCE" w:rsidRPr="001433A9" w:rsidRDefault="00C82253" w:rsidP="00851E32">
      <w:pPr>
        <w:widowControl w:val="0"/>
        <w:spacing w:line="480" w:lineRule="auto"/>
        <w:rPr>
          <w:color w:val="000000" w:themeColor="text1"/>
        </w:rPr>
      </w:pPr>
      <w:r w:rsidRPr="001433A9">
        <w:rPr>
          <w:color w:val="000000" w:themeColor="text1"/>
        </w:rPr>
        <w:t xml:space="preserve">sociodemographic information due to word limits. Journals, along with coalitions </w:t>
      </w:r>
      <w:proofErr w:type="gramStart"/>
      <w:r w:rsidRPr="001433A9">
        <w:rPr>
          <w:color w:val="000000" w:themeColor="text1"/>
        </w:rPr>
        <w:t>promoting</w:t>
      </w:r>
      <w:proofErr w:type="gramEnd"/>
    </w:p>
    <w:p w14:paraId="5575FEC7" w14:textId="77777777" w:rsidR="008A39CD" w:rsidRPr="001433A9" w:rsidRDefault="00C82253" w:rsidP="00851E32">
      <w:pPr>
        <w:widowControl w:val="0"/>
        <w:spacing w:line="480" w:lineRule="auto"/>
        <w:rPr>
          <w:color w:val="000000" w:themeColor="text1"/>
        </w:rPr>
      </w:pPr>
      <w:r w:rsidRPr="001433A9">
        <w:rPr>
          <w:color w:val="000000" w:themeColor="text1"/>
        </w:rPr>
        <w:t>equity in publishing (e.g., the Equity, Diversity, and Inclusion Toolkit for journal editors)</w:t>
      </w:r>
    </w:p>
    <w:p w14:paraId="3C099D80" w14:textId="5565E0B5" w:rsidR="005C1BBE" w:rsidRDefault="00C82253" w:rsidP="00851E32">
      <w:pPr>
        <w:widowControl w:val="0"/>
        <w:spacing w:line="480" w:lineRule="auto"/>
        <w:rPr>
          <w:color w:val="000000" w:themeColor="text1"/>
        </w:rPr>
      </w:pPr>
      <w:r w:rsidRPr="001433A9">
        <w:rPr>
          <w:noProof/>
          <w:color w:val="000000" w:themeColor="text1"/>
        </w:rPr>
        <w:t>(American Psychological Association Journals, 2021)</w:t>
      </w:r>
      <w:r w:rsidRPr="001433A9">
        <w:rPr>
          <w:color w:val="000000" w:themeColor="text1"/>
        </w:rPr>
        <w:t xml:space="preserve"> should determine how to facilitate reporting (e.g., while one solution might be to report sociodemographics in supplemental materials, this signals that sociodemographics are a less important aspect of study methods). More broadly, changing reporting practices is just one of many steps at mitigating inequity </w:t>
      </w:r>
      <w:r w:rsidRPr="001433A9">
        <w:rPr>
          <w:noProof/>
          <w:color w:val="000000" w:themeColor="text1"/>
        </w:rPr>
        <w:t>(Steinbrenner et al., 2022)</w:t>
      </w:r>
      <w:r w:rsidRPr="001433A9">
        <w:rPr>
          <w:color w:val="000000" w:themeColor="text1"/>
        </w:rPr>
        <w:t xml:space="preserve">. Calls for action make clear that individual researchers bear some responsibility for engaging communities and making researchers more equitable, which must be matched by agencies, funders, and career advancement systems governing research and researchers </w:t>
      </w:r>
      <w:r w:rsidRPr="001433A9">
        <w:rPr>
          <w:noProof/>
          <w:color w:val="000000" w:themeColor="text1"/>
        </w:rPr>
        <w:t xml:space="preserve">(Girolamo et al., </w:t>
      </w:r>
      <w:r w:rsidR="006A517C" w:rsidRPr="001433A9">
        <w:rPr>
          <w:noProof/>
          <w:color w:val="000000" w:themeColor="text1"/>
        </w:rPr>
        <w:t>2022</w:t>
      </w:r>
      <w:r w:rsidR="00FD1130" w:rsidRPr="001433A9">
        <w:rPr>
          <w:noProof/>
          <w:color w:val="000000" w:themeColor="text1"/>
        </w:rPr>
        <w:t>d</w:t>
      </w:r>
      <w:r w:rsidRPr="001433A9">
        <w:rPr>
          <w:noProof/>
          <w:color w:val="000000" w:themeColor="text1"/>
        </w:rPr>
        <w:t>; Jones &amp; Mandell, 2020; Maye et al., 2021)</w:t>
      </w:r>
      <w:r w:rsidRPr="001433A9">
        <w:rPr>
          <w:color w:val="000000" w:themeColor="text1"/>
        </w:rPr>
        <w:t xml:space="preserve">. </w:t>
      </w:r>
      <w:r w:rsidR="00FB009B" w:rsidRPr="001433A9">
        <w:rPr>
          <w:color w:val="000000" w:themeColor="text1"/>
        </w:rPr>
        <w:t>In the here and now, individual researchers can take</w:t>
      </w:r>
      <w:r w:rsidR="00384FFB" w:rsidRPr="001433A9">
        <w:rPr>
          <w:color w:val="000000" w:themeColor="text1"/>
        </w:rPr>
        <w:t xml:space="preserve"> s</w:t>
      </w:r>
      <w:r w:rsidR="00FB009B" w:rsidRPr="001433A9">
        <w:rPr>
          <w:color w:val="000000" w:themeColor="text1"/>
        </w:rPr>
        <w:t xml:space="preserve">teps to diversify autism research; see Table 6. </w:t>
      </w:r>
      <w:r w:rsidR="00AB689B" w:rsidRPr="001433A9">
        <w:rPr>
          <w:color w:val="000000" w:themeColor="text1"/>
        </w:rPr>
        <w:t>The aim of these steps is to change</w:t>
      </w:r>
      <w:r w:rsidR="00FB009B" w:rsidRPr="001433A9">
        <w:rPr>
          <w:color w:val="000000" w:themeColor="text1"/>
        </w:rPr>
        <w:t xml:space="preserve"> the power structure underlying research to center systematically excluded voices, which </w:t>
      </w:r>
      <w:r w:rsidR="00913CB0" w:rsidRPr="001433A9">
        <w:rPr>
          <w:color w:val="000000" w:themeColor="text1"/>
        </w:rPr>
        <w:t xml:space="preserve">in turn </w:t>
      </w:r>
      <w:r w:rsidR="00FB009B" w:rsidRPr="001433A9">
        <w:rPr>
          <w:color w:val="000000" w:themeColor="text1"/>
        </w:rPr>
        <w:t xml:space="preserve">should </w:t>
      </w:r>
      <w:r w:rsidR="005E1B6B" w:rsidRPr="001433A9">
        <w:rPr>
          <w:color w:val="000000" w:themeColor="text1"/>
        </w:rPr>
        <w:t>shape</w:t>
      </w:r>
      <w:r w:rsidR="00FB009B" w:rsidRPr="001433A9">
        <w:rPr>
          <w:color w:val="000000" w:themeColor="text1"/>
        </w:rPr>
        <w:t xml:space="preserve"> individual research practices.</w:t>
      </w:r>
    </w:p>
    <w:tbl>
      <w:tblPr>
        <w:tblW w:w="5000" w:type="pct"/>
        <w:tblCellMar>
          <w:left w:w="30" w:type="dxa"/>
          <w:right w:w="30" w:type="dxa"/>
        </w:tblCellMar>
        <w:tblLook w:val="0000" w:firstRow="0" w:lastRow="0" w:firstColumn="0" w:lastColumn="0" w:noHBand="0" w:noVBand="0"/>
      </w:tblPr>
      <w:tblGrid>
        <w:gridCol w:w="1476"/>
        <w:gridCol w:w="2029"/>
        <w:gridCol w:w="2950"/>
        <w:gridCol w:w="2905"/>
      </w:tblGrid>
      <w:tr w:rsidR="006D7F34" w:rsidRPr="00D10A96" w14:paraId="436B1CD3" w14:textId="77777777" w:rsidTr="00494032">
        <w:trPr>
          <w:trHeight w:val="450"/>
        </w:trPr>
        <w:tc>
          <w:tcPr>
            <w:tcW w:w="5000" w:type="pct"/>
            <w:gridSpan w:val="4"/>
            <w:tcBorders>
              <w:top w:val="nil"/>
              <w:left w:val="nil"/>
              <w:bottom w:val="single" w:sz="4" w:space="0" w:color="auto"/>
              <w:right w:val="nil"/>
            </w:tcBorders>
          </w:tcPr>
          <w:p w14:paraId="4CD358AE" w14:textId="77777777" w:rsidR="006D7F34" w:rsidRPr="00D10A96" w:rsidRDefault="006D7F34" w:rsidP="00494032">
            <w:pPr>
              <w:autoSpaceDE w:val="0"/>
              <w:autoSpaceDN w:val="0"/>
              <w:adjustRightInd w:val="0"/>
              <w:rPr>
                <w:rFonts w:ascii="Arial" w:hAnsi="Arial" w:cs="Arial"/>
                <w:b/>
                <w:bCs/>
                <w:color w:val="000000"/>
                <w:sz w:val="20"/>
                <w:szCs w:val="20"/>
              </w:rPr>
            </w:pPr>
            <w:r w:rsidRPr="00D10A96">
              <w:rPr>
                <w:rFonts w:ascii="Arial" w:hAnsi="Arial" w:cs="Arial"/>
                <w:b/>
                <w:bCs/>
                <w:color w:val="000000"/>
                <w:sz w:val="20"/>
                <w:szCs w:val="20"/>
              </w:rPr>
              <w:t>Table 6</w:t>
            </w:r>
          </w:p>
          <w:p w14:paraId="62FDF349" w14:textId="77777777" w:rsidR="006D7F34" w:rsidRPr="00D10A96" w:rsidRDefault="006D7F34" w:rsidP="00494032">
            <w:pPr>
              <w:autoSpaceDE w:val="0"/>
              <w:autoSpaceDN w:val="0"/>
              <w:adjustRightInd w:val="0"/>
              <w:rPr>
                <w:rFonts w:ascii="Arial" w:hAnsi="Arial" w:cs="Arial"/>
                <w:b/>
                <w:bCs/>
                <w:color w:val="000000"/>
                <w:sz w:val="20"/>
                <w:szCs w:val="20"/>
              </w:rPr>
            </w:pPr>
            <w:r w:rsidRPr="00D10A96">
              <w:rPr>
                <w:rFonts w:ascii="Arial" w:hAnsi="Arial" w:cs="Arial"/>
                <w:i/>
                <w:iCs/>
                <w:color w:val="000000"/>
                <w:sz w:val="20"/>
                <w:szCs w:val="20"/>
              </w:rPr>
              <w:t>Steps for Individual Researchers to Mitigate Systematic Exclusion of Autistic REM</w:t>
            </w:r>
          </w:p>
        </w:tc>
      </w:tr>
      <w:tr w:rsidR="006D7F34" w:rsidRPr="00D10A96" w14:paraId="32704784" w14:textId="77777777" w:rsidTr="00494032">
        <w:trPr>
          <w:trHeight w:val="300"/>
        </w:trPr>
        <w:tc>
          <w:tcPr>
            <w:tcW w:w="788" w:type="pct"/>
            <w:tcBorders>
              <w:top w:val="single" w:sz="4" w:space="0" w:color="auto"/>
              <w:left w:val="nil"/>
              <w:bottom w:val="nil"/>
              <w:right w:val="nil"/>
            </w:tcBorders>
          </w:tcPr>
          <w:p w14:paraId="7F3D944E" w14:textId="77777777" w:rsidR="006D7F34" w:rsidRPr="00D10A96" w:rsidRDefault="006D7F34" w:rsidP="00494032">
            <w:pPr>
              <w:autoSpaceDE w:val="0"/>
              <w:autoSpaceDN w:val="0"/>
              <w:adjustRightInd w:val="0"/>
              <w:rPr>
                <w:rFonts w:ascii="Arial" w:hAnsi="Arial" w:cs="Arial"/>
                <w:color w:val="000000"/>
                <w:sz w:val="20"/>
                <w:szCs w:val="20"/>
                <w:u w:val="single"/>
              </w:rPr>
            </w:pPr>
            <w:r w:rsidRPr="00D10A96">
              <w:rPr>
                <w:rFonts w:ascii="Arial" w:hAnsi="Arial" w:cs="Arial"/>
                <w:color w:val="000000"/>
                <w:sz w:val="20"/>
                <w:szCs w:val="20"/>
                <w:u w:val="single"/>
              </w:rPr>
              <w:t>Domain</w:t>
            </w:r>
          </w:p>
        </w:tc>
        <w:tc>
          <w:tcPr>
            <w:tcW w:w="1084" w:type="pct"/>
            <w:tcBorders>
              <w:top w:val="single" w:sz="4" w:space="0" w:color="auto"/>
              <w:left w:val="nil"/>
              <w:bottom w:val="nil"/>
              <w:right w:val="nil"/>
            </w:tcBorders>
          </w:tcPr>
          <w:p w14:paraId="786F6360" w14:textId="77777777" w:rsidR="006D7F34" w:rsidRPr="00D10A96" w:rsidRDefault="006D7F34" w:rsidP="00494032">
            <w:pPr>
              <w:autoSpaceDE w:val="0"/>
              <w:autoSpaceDN w:val="0"/>
              <w:adjustRightInd w:val="0"/>
              <w:rPr>
                <w:rFonts w:ascii="Arial" w:hAnsi="Arial" w:cs="Arial"/>
                <w:color w:val="000000"/>
                <w:sz w:val="20"/>
                <w:szCs w:val="20"/>
                <w:u w:val="single"/>
              </w:rPr>
            </w:pPr>
            <w:r>
              <w:rPr>
                <w:rFonts w:ascii="Arial" w:hAnsi="Arial" w:cs="Arial"/>
                <w:color w:val="000000"/>
                <w:sz w:val="20"/>
                <w:szCs w:val="20"/>
                <w:u w:val="single"/>
              </w:rPr>
              <w:t>Setting</w:t>
            </w:r>
          </w:p>
        </w:tc>
        <w:tc>
          <w:tcPr>
            <w:tcW w:w="1576" w:type="pct"/>
            <w:tcBorders>
              <w:top w:val="single" w:sz="4" w:space="0" w:color="auto"/>
              <w:left w:val="nil"/>
              <w:bottom w:val="nil"/>
              <w:right w:val="nil"/>
            </w:tcBorders>
          </w:tcPr>
          <w:p w14:paraId="64446191" w14:textId="77777777" w:rsidR="006D7F34" w:rsidRPr="00D10A96" w:rsidRDefault="006D7F34" w:rsidP="00494032">
            <w:pPr>
              <w:autoSpaceDE w:val="0"/>
              <w:autoSpaceDN w:val="0"/>
              <w:adjustRightInd w:val="0"/>
              <w:rPr>
                <w:rFonts w:ascii="Arial" w:hAnsi="Arial" w:cs="Arial"/>
                <w:color w:val="000000"/>
                <w:sz w:val="20"/>
                <w:szCs w:val="20"/>
                <w:u w:val="single"/>
              </w:rPr>
            </w:pPr>
            <w:r w:rsidRPr="00D10A96">
              <w:rPr>
                <w:rFonts w:ascii="Arial" w:hAnsi="Arial" w:cs="Arial"/>
                <w:color w:val="000000"/>
                <w:sz w:val="20"/>
                <w:szCs w:val="20"/>
                <w:u w:val="single"/>
              </w:rPr>
              <w:t>Goal</w:t>
            </w:r>
          </w:p>
        </w:tc>
        <w:tc>
          <w:tcPr>
            <w:tcW w:w="1552" w:type="pct"/>
            <w:tcBorders>
              <w:top w:val="single" w:sz="4" w:space="0" w:color="auto"/>
              <w:left w:val="nil"/>
              <w:bottom w:val="nil"/>
              <w:right w:val="nil"/>
            </w:tcBorders>
          </w:tcPr>
          <w:p w14:paraId="2E5FF615" w14:textId="77777777" w:rsidR="006D7F34" w:rsidRPr="00D10A96" w:rsidRDefault="006D7F34" w:rsidP="00494032">
            <w:pPr>
              <w:autoSpaceDE w:val="0"/>
              <w:autoSpaceDN w:val="0"/>
              <w:adjustRightInd w:val="0"/>
              <w:rPr>
                <w:rFonts w:ascii="Arial" w:hAnsi="Arial" w:cs="Arial"/>
                <w:color w:val="000000"/>
                <w:sz w:val="20"/>
                <w:szCs w:val="20"/>
                <w:u w:val="single"/>
              </w:rPr>
            </w:pPr>
            <w:r>
              <w:rPr>
                <w:rFonts w:ascii="Arial" w:hAnsi="Arial" w:cs="Arial"/>
                <w:color w:val="000000"/>
                <w:sz w:val="20"/>
                <w:szCs w:val="20"/>
                <w:u w:val="single"/>
              </w:rPr>
              <w:t>Sample practices</w:t>
            </w:r>
          </w:p>
        </w:tc>
      </w:tr>
      <w:tr w:rsidR="006D7F34" w:rsidRPr="00D10A96" w14:paraId="368C09A9" w14:textId="77777777" w:rsidTr="00494032">
        <w:trPr>
          <w:trHeight w:val="432"/>
        </w:trPr>
        <w:tc>
          <w:tcPr>
            <w:tcW w:w="788" w:type="pct"/>
            <w:tcBorders>
              <w:top w:val="nil"/>
              <w:left w:val="nil"/>
              <w:bottom w:val="nil"/>
              <w:right w:val="nil"/>
            </w:tcBorders>
          </w:tcPr>
          <w:p w14:paraId="18745C29"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Research</w:t>
            </w:r>
          </w:p>
        </w:tc>
        <w:tc>
          <w:tcPr>
            <w:tcW w:w="1084" w:type="pct"/>
            <w:tcBorders>
              <w:top w:val="nil"/>
              <w:left w:val="nil"/>
              <w:bottom w:val="nil"/>
              <w:right w:val="nil"/>
            </w:tcBorders>
          </w:tcPr>
          <w:p w14:paraId="43005621"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Lab</w:t>
            </w:r>
          </w:p>
        </w:tc>
        <w:tc>
          <w:tcPr>
            <w:tcW w:w="1576" w:type="pct"/>
            <w:tcBorders>
              <w:top w:val="nil"/>
              <w:left w:val="nil"/>
              <w:bottom w:val="nil"/>
              <w:right w:val="nil"/>
            </w:tcBorders>
          </w:tcPr>
          <w:p w14:paraId="7EF50388"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Center the criticality of diversity in research</w:t>
            </w:r>
          </w:p>
        </w:tc>
        <w:tc>
          <w:tcPr>
            <w:tcW w:w="1552" w:type="pct"/>
            <w:tcBorders>
              <w:top w:val="nil"/>
              <w:left w:val="nil"/>
              <w:bottom w:val="nil"/>
              <w:right w:val="nil"/>
            </w:tcBorders>
          </w:tcPr>
          <w:p w14:paraId="1895668E" w14:textId="77777777" w:rsidR="006D7F34" w:rsidRPr="00D10A96" w:rsidRDefault="006D7F34" w:rsidP="00494032">
            <w:pPr>
              <w:autoSpaceDE w:val="0"/>
              <w:autoSpaceDN w:val="0"/>
              <w:adjustRightInd w:val="0"/>
              <w:rPr>
                <w:rFonts w:ascii="Arial" w:hAnsi="Arial" w:cs="Arial"/>
                <w:color w:val="000000"/>
                <w:sz w:val="20"/>
                <w:szCs w:val="20"/>
              </w:rPr>
            </w:pPr>
            <w:r>
              <w:rPr>
                <w:rFonts w:ascii="Arial" w:hAnsi="Arial" w:cs="Arial"/>
                <w:color w:val="000000"/>
                <w:sz w:val="20"/>
                <w:szCs w:val="20"/>
              </w:rPr>
              <w:t>A</w:t>
            </w:r>
            <w:r w:rsidRPr="00D10A96">
              <w:rPr>
                <w:rFonts w:ascii="Arial" w:hAnsi="Arial" w:cs="Arial"/>
                <w:color w:val="000000"/>
                <w:sz w:val="20"/>
                <w:szCs w:val="20"/>
              </w:rPr>
              <w:t xml:space="preserve">dopt </w:t>
            </w:r>
            <w:r>
              <w:rPr>
                <w:rFonts w:ascii="Arial" w:hAnsi="Arial" w:cs="Arial"/>
                <w:color w:val="000000"/>
                <w:sz w:val="20"/>
                <w:szCs w:val="20"/>
              </w:rPr>
              <w:t xml:space="preserve">race- and dis/ability-conscious </w:t>
            </w:r>
            <w:r w:rsidRPr="00D10A96">
              <w:rPr>
                <w:rFonts w:ascii="Arial" w:hAnsi="Arial" w:cs="Arial"/>
                <w:color w:val="000000"/>
                <w:sz w:val="20"/>
                <w:szCs w:val="20"/>
              </w:rPr>
              <w:t>approach</w:t>
            </w:r>
            <w:r>
              <w:rPr>
                <w:rFonts w:ascii="Arial" w:hAnsi="Arial" w:cs="Arial"/>
                <w:color w:val="000000"/>
                <w:sz w:val="20"/>
                <w:szCs w:val="20"/>
              </w:rPr>
              <w:t>es</w:t>
            </w:r>
            <w:r w:rsidRPr="00D10A96">
              <w:rPr>
                <w:rFonts w:ascii="Arial" w:hAnsi="Arial" w:cs="Arial"/>
                <w:color w:val="000000"/>
                <w:sz w:val="20"/>
                <w:szCs w:val="20"/>
              </w:rPr>
              <w:t xml:space="preserve"> to interpreting papers &amp; lab projects</w:t>
            </w:r>
          </w:p>
        </w:tc>
      </w:tr>
      <w:tr w:rsidR="006D7F34" w:rsidRPr="00D10A96" w14:paraId="2FBA3012" w14:textId="77777777" w:rsidTr="00494032">
        <w:trPr>
          <w:trHeight w:val="486"/>
        </w:trPr>
        <w:tc>
          <w:tcPr>
            <w:tcW w:w="788" w:type="pct"/>
            <w:tcBorders>
              <w:top w:val="nil"/>
              <w:left w:val="nil"/>
              <w:bottom w:val="nil"/>
              <w:right w:val="nil"/>
            </w:tcBorders>
          </w:tcPr>
          <w:p w14:paraId="355B7B73"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084" w:type="pct"/>
            <w:tcBorders>
              <w:top w:val="nil"/>
              <w:left w:val="nil"/>
              <w:bottom w:val="nil"/>
              <w:right w:val="nil"/>
            </w:tcBorders>
          </w:tcPr>
          <w:p w14:paraId="119BC991" w14:textId="77777777" w:rsidR="006D7F34" w:rsidRPr="00D10A96" w:rsidRDefault="006D7F34" w:rsidP="00494032">
            <w:pPr>
              <w:autoSpaceDE w:val="0"/>
              <w:autoSpaceDN w:val="0"/>
              <w:adjustRightInd w:val="0"/>
              <w:rPr>
                <w:rFonts w:ascii="Arial" w:hAnsi="Arial" w:cs="Arial"/>
                <w:color w:val="000000"/>
                <w:sz w:val="20"/>
                <w:szCs w:val="20"/>
              </w:rPr>
            </w:pPr>
          </w:p>
        </w:tc>
        <w:tc>
          <w:tcPr>
            <w:tcW w:w="1576" w:type="pct"/>
            <w:tcBorders>
              <w:top w:val="nil"/>
              <w:left w:val="nil"/>
              <w:bottom w:val="nil"/>
              <w:right w:val="nil"/>
            </w:tcBorders>
          </w:tcPr>
          <w:p w14:paraId="20906A89" w14:textId="77777777" w:rsidR="006D7F34" w:rsidRPr="00D10A96" w:rsidRDefault="006D7F34" w:rsidP="00494032">
            <w:pPr>
              <w:autoSpaceDE w:val="0"/>
              <w:autoSpaceDN w:val="0"/>
              <w:adjustRightInd w:val="0"/>
              <w:rPr>
                <w:rFonts w:ascii="Arial" w:hAnsi="Arial" w:cs="Arial"/>
                <w:color w:val="000000"/>
                <w:sz w:val="20"/>
                <w:szCs w:val="20"/>
              </w:rPr>
            </w:pPr>
            <w:r>
              <w:rPr>
                <w:rFonts w:ascii="Arial" w:hAnsi="Arial" w:cs="Arial"/>
                <w:color w:val="000000"/>
                <w:sz w:val="20"/>
                <w:szCs w:val="20"/>
              </w:rPr>
              <w:t>Practice i</w:t>
            </w:r>
            <w:r w:rsidRPr="00D10A96">
              <w:rPr>
                <w:rFonts w:ascii="Arial" w:hAnsi="Arial" w:cs="Arial"/>
                <w:color w:val="000000"/>
                <w:sz w:val="20"/>
                <w:szCs w:val="20"/>
              </w:rPr>
              <w:t>ntersectional reporting</w:t>
            </w:r>
          </w:p>
        </w:tc>
        <w:tc>
          <w:tcPr>
            <w:tcW w:w="1552" w:type="pct"/>
            <w:tcBorders>
              <w:top w:val="nil"/>
              <w:left w:val="nil"/>
              <w:bottom w:val="nil"/>
              <w:right w:val="nil"/>
            </w:tcBorders>
          </w:tcPr>
          <w:p w14:paraId="5F53DFB6"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Fully adhere to reporting guidelines</w:t>
            </w:r>
            <w:r>
              <w:rPr>
                <w:rFonts w:ascii="Arial" w:hAnsi="Arial" w:cs="Arial"/>
                <w:color w:val="000000"/>
                <w:sz w:val="20"/>
                <w:szCs w:val="20"/>
              </w:rPr>
              <w:t xml:space="preserve"> while considering </w:t>
            </w:r>
            <w:r w:rsidRPr="00D10A96">
              <w:rPr>
                <w:rFonts w:ascii="Arial" w:hAnsi="Arial" w:cs="Arial"/>
                <w:i/>
                <w:iCs/>
                <w:color w:val="000000"/>
                <w:sz w:val="20"/>
                <w:szCs w:val="20"/>
              </w:rPr>
              <w:t>privacy and confidentiality</w:t>
            </w:r>
          </w:p>
        </w:tc>
      </w:tr>
      <w:tr w:rsidR="006D7F34" w:rsidRPr="00D10A96" w14:paraId="33CADA52" w14:textId="77777777" w:rsidTr="00494032">
        <w:trPr>
          <w:trHeight w:val="963"/>
        </w:trPr>
        <w:tc>
          <w:tcPr>
            <w:tcW w:w="788" w:type="pct"/>
            <w:tcBorders>
              <w:top w:val="nil"/>
              <w:left w:val="nil"/>
              <w:bottom w:val="nil"/>
              <w:right w:val="nil"/>
            </w:tcBorders>
          </w:tcPr>
          <w:p w14:paraId="14D2EC0C"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084" w:type="pct"/>
            <w:tcBorders>
              <w:top w:val="nil"/>
              <w:left w:val="nil"/>
              <w:bottom w:val="nil"/>
              <w:right w:val="nil"/>
            </w:tcBorders>
          </w:tcPr>
          <w:p w14:paraId="7AB6431A" w14:textId="77777777" w:rsidR="006D7F34" w:rsidRPr="00D10A96" w:rsidRDefault="006D7F34" w:rsidP="00494032">
            <w:pPr>
              <w:autoSpaceDE w:val="0"/>
              <w:autoSpaceDN w:val="0"/>
              <w:adjustRightInd w:val="0"/>
              <w:rPr>
                <w:rFonts w:ascii="Arial" w:hAnsi="Arial" w:cs="Arial"/>
                <w:color w:val="000000"/>
                <w:sz w:val="20"/>
                <w:szCs w:val="20"/>
              </w:rPr>
            </w:pPr>
          </w:p>
        </w:tc>
        <w:tc>
          <w:tcPr>
            <w:tcW w:w="1576" w:type="pct"/>
            <w:tcBorders>
              <w:top w:val="nil"/>
              <w:left w:val="nil"/>
              <w:bottom w:val="nil"/>
              <w:right w:val="nil"/>
            </w:tcBorders>
          </w:tcPr>
          <w:p w14:paraId="3D3925DF" w14:textId="77777777" w:rsidR="006D7F34" w:rsidRPr="00800481" w:rsidRDefault="006D7F34" w:rsidP="00494032">
            <w:pPr>
              <w:autoSpaceDE w:val="0"/>
              <w:autoSpaceDN w:val="0"/>
              <w:adjustRightInd w:val="0"/>
              <w:rPr>
                <w:rFonts w:ascii="Arial" w:hAnsi="Arial" w:cs="Arial"/>
                <w:color w:val="000000"/>
                <w:sz w:val="20"/>
                <w:szCs w:val="20"/>
                <w:u w:val="single"/>
              </w:rPr>
            </w:pPr>
            <w:r w:rsidRPr="00800481">
              <w:rPr>
                <w:rFonts w:ascii="Arial" w:hAnsi="Arial" w:cs="Arial"/>
                <w:color w:val="000000"/>
                <w:sz w:val="20"/>
                <w:szCs w:val="20"/>
                <w:u w:val="single"/>
              </w:rPr>
              <w:t>Conduct appropriate analyses</w:t>
            </w:r>
          </w:p>
        </w:tc>
        <w:tc>
          <w:tcPr>
            <w:tcW w:w="1552" w:type="pct"/>
            <w:tcBorders>
              <w:top w:val="nil"/>
              <w:left w:val="nil"/>
              <w:bottom w:val="nil"/>
              <w:right w:val="nil"/>
            </w:tcBorders>
          </w:tcPr>
          <w:p w14:paraId="546EA55E" w14:textId="77777777" w:rsidR="006D7F34" w:rsidRPr="00800481" w:rsidRDefault="006D7F34" w:rsidP="00494032">
            <w:pPr>
              <w:autoSpaceDE w:val="0"/>
              <w:autoSpaceDN w:val="0"/>
              <w:adjustRightInd w:val="0"/>
              <w:rPr>
                <w:rFonts w:ascii="Arial" w:hAnsi="Arial" w:cs="Arial"/>
                <w:color w:val="000000"/>
                <w:sz w:val="20"/>
                <w:szCs w:val="20"/>
                <w:u w:val="single"/>
              </w:rPr>
            </w:pPr>
            <w:r w:rsidRPr="00800481">
              <w:rPr>
                <w:rFonts w:ascii="Arial" w:hAnsi="Arial" w:cs="Arial"/>
                <w:color w:val="000000"/>
                <w:sz w:val="20"/>
                <w:szCs w:val="20"/>
                <w:u w:val="single"/>
              </w:rPr>
              <w:t xml:space="preserve">Using intersectional analyses when sample size permits (versus assuming an effect is uniform for an entire sample) or analytical methods appropriate for small, heterogeneous </w:t>
            </w:r>
            <w:r w:rsidRPr="00800481">
              <w:rPr>
                <w:rFonts w:ascii="Arial" w:hAnsi="Arial" w:cs="Arial"/>
                <w:color w:val="000000"/>
                <w:sz w:val="20"/>
                <w:szCs w:val="20"/>
                <w:u w:val="single"/>
              </w:rPr>
              <w:lastRenderedPageBreak/>
              <w:t>samples (e.g., Bayesian approaches)</w:t>
            </w:r>
          </w:p>
        </w:tc>
      </w:tr>
      <w:tr w:rsidR="006D7F34" w:rsidRPr="00D10A96" w14:paraId="4AD0C8B4" w14:textId="77777777" w:rsidTr="00494032">
        <w:trPr>
          <w:trHeight w:val="963"/>
        </w:trPr>
        <w:tc>
          <w:tcPr>
            <w:tcW w:w="788" w:type="pct"/>
            <w:tcBorders>
              <w:top w:val="nil"/>
              <w:left w:val="nil"/>
              <w:bottom w:val="nil"/>
              <w:right w:val="nil"/>
            </w:tcBorders>
          </w:tcPr>
          <w:p w14:paraId="08264719"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084" w:type="pct"/>
            <w:tcBorders>
              <w:top w:val="nil"/>
              <w:left w:val="nil"/>
              <w:bottom w:val="nil"/>
              <w:right w:val="nil"/>
            </w:tcBorders>
          </w:tcPr>
          <w:p w14:paraId="3F822C40"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Participatory methods</w:t>
            </w:r>
          </w:p>
        </w:tc>
        <w:tc>
          <w:tcPr>
            <w:tcW w:w="1576" w:type="pct"/>
            <w:tcBorders>
              <w:top w:val="nil"/>
              <w:left w:val="nil"/>
              <w:bottom w:val="nil"/>
              <w:right w:val="nil"/>
            </w:tcBorders>
          </w:tcPr>
          <w:p w14:paraId="7FE8667E" w14:textId="77777777" w:rsidR="006D7F34" w:rsidRPr="00D10A96" w:rsidRDefault="006D7F34" w:rsidP="00494032">
            <w:pPr>
              <w:autoSpaceDE w:val="0"/>
              <w:autoSpaceDN w:val="0"/>
              <w:adjustRightInd w:val="0"/>
              <w:rPr>
                <w:rFonts w:ascii="Arial" w:hAnsi="Arial" w:cs="Arial"/>
                <w:color w:val="000000"/>
                <w:sz w:val="20"/>
                <w:szCs w:val="20"/>
              </w:rPr>
            </w:pPr>
            <w:r>
              <w:rPr>
                <w:rFonts w:ascii="Arial" w:hAnsi="Arial" w:cs="Arial"/>
                <w:color w:val="000000"/>
                <w:sz w:val="20"/>
                <w:szCs w:val="20"/>
              </w:rPr>
              <w:t>Prioritize building t</w:t>
            </w:r>
            <w:r w:rsidRPr="00D10A96">
              <w:rPr>
                <w:rFonts w:ascii="Arial" w:hAnsi="Arial" w:cs="Arial"/>
                <w:color w:val="000000"/>
                <w:sz w:val="20"/>
                <w:szCs w:val="20"/>
              </w:rPr>
              <w:t xml:space="preserve">rust </w:t>
            </w:r>
            <w:r>
              <w:rPr>
                <w:rFonts w:ascii="Arial" w:hAnsi="Arial" w:cs="Arial"/>
                <w:color w:val="000000"/>
                <w:sz w:val="20"/>
                <w:szCs w:val="20"/>
              </w:rPr>
              <w:t>and</w:t>
            </w:r>
            <w:r w:rsidRPr="00D10A96">
              <w:rPr>
                <w:rFonts w:ascii="Arial" w:hAnsi="Arial" w:cs="Arial"/>
                <w:color w:val="000000"/>
                <w:sz w:val="20"/>
                <w:szCs w:val="20"/>
              </w:rPr>
              <w:t xml:space="preserve"> rapport with autistic REM</w:t>
            </w:r>
          </w:p>
        </w:tc>
        <w:tc>
          <w:tcPr>
            <w:tcW w:w="1552" w:type="pct"/>
            <w:tcBorders>
              <w:top w:val="nil"/>
              <w:left w:val="nil"/>
              <w:bottom w:val="nil"/>
              <w:right w:val="nil"/>
            </w:tcBorders>
          </w:tcPr>
          <w:p w14:paraId="11B0E869"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Identify points of contact</w:t>
            </w:r>
            <w:r>
              <w:rPr>
                <w:rFonts w:ascii="Arial" w:hAnsi="Arial" w:cs="Arial"/>
                <w:color w:val="000000"/>
                <w:sz w:val="20"/>
                <w:szCs w:val="20"/>
              </w:rPr>
              <w:t xml:space="preserve"> </w:t>
            </w:r>
            <w:r w:rsidRPr="00D10A96">
              <w:rPr>
                <w:rFonts w:ascii="Arial" w:hAnsi="Arial" w:cs="Arial"/>
                <w:color w:val="000000"/>
                <w:sz w:val="20"/>
                <w:szCs w:val="20"/>
              </w:rPr>
              <w:t>by attending community events</w:t>
            </w:r>
            <w:r>
              <w:rPr>
                <w:rFonts w:ascii="Arial" w:hAnsi="Arial" w:cs="Arial"/>
                <w:color w:val="000000"/>
                <w:sz w:val="20"/>
                <w:szCs w:val="20"/>
              </w:rPr>
              <w:t xml:space="preserve">, </w:t>
            </w:r>
            <w:r w:rsidRPr="00D10A96">
              <w:rPr>
                <w:rFonts w:ascii="Arial" w:hAnsi="Arial" w:cs="Arial"/>
                <w:color w:val="000000"/>
                <w:sz w:val="20"/>
                <w:szCs w:val="20"/>
              </w:rPr>
              <w:t>following networks, and engag</w:t>
            </w:r>
            <w:r>
              <w:rPr>
                <w:rFonts w:ascii="Arial" w:hAnsi="Arial" w:cs="Arial"/>
                <w:color w:val="000000"/>
                <w:sz w:val="20"/>
                <w:szCs w:val="20"/>
              </w:rPr>
              <w:t>ing</w:t>
            </w:r>
            <w:r w:rsidRPr="00D10A96">
              <w:rPr>
                <w:rFonts w:ascii="Arial" w:hAnsi="Arial" w:cs="Arial"/>
                <w:color w:val="000000"/>
                <w:sz w:val="20"/>
                <w:szCs w:val="20"/>
              </w:rPr>
              <w:t xml:space="preserve"> with autistic REM on their terms (see </w:t>
            </w:r>
            <w:r w:rsidRPr="00D10A96">
              <w:rPr>
                <w:rFonts w:ascii="Arial" w:hAnsi="Arial" w:cs="Arial"/>
                <w:i/>
                <w:iCs/>
                <w:color w:val="000000"/>
                <w:sz w:val="20"/>
                <w:szCs w:val="20"/>
              </w:rPr>
              <w:t>community engagement</w:t>
            </w:r>
            <w:r w:rsidRPr="00D10A96">
              <w:rPr>
                <w:rFonts w:ascii="Arial" w:hAnsi="Arial" w:cs="Arial"/>
                <w:color w:val="000000"/>
                <w:sz w:val="20"/>
                <w:szCs w:val="20"/>
              </w:rPr>
              <w:t>)</w:t>
            </w:r>
          </w:p>
        </w:tc>
      </w:tr>
      <w:tr w:rsidR="006D7F34" w:rsidRPr="00D10A96" w14:paraId="0F944DE0" w14:textId="77777777" w:rsidTr="00494032">
        <w:trPr>
          <w:trHeight w:val="693"/>
        </w:trPr>
        <w:tc>
          <w:tcPr>
            <w:tcW w:w="788" w:type="pct"/>
            <w:tcBorders>
              <w:top w:val="nil"/>
              <w:left w:val="nil"/>
              <w:bottom w:val="nil"/>
              <w:right w:val="nil"/>
            </w:tcBorders>
          </w:tcPr>
          <w:p w14:paraId="46B082F2"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084" w:type="pct"/>
            <w:tcBorders>
              <w:top w:val="nil"/>
              <w:left w:val="nil"/>
              <w:bottom w:val="nil"/>
              <w:right w:val="nil"/>
            </w:tcBorders>
          </w:tcPr>
          <w:p w14:paraId="7C9C6AC8"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576" w:type="pct"/>
            <w:tcBorders>
              <w:top w:val="nil"/>
              <w:left w:val="nil"/>
              <w:bottom w:val="nil"/>
              <w:right w:val="nil"/>
            </w:tcBorders>
          </w:tcPr>
          <w:p w14:paraId="17B977F0"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Advance autistic REM as leaders in research</w:t>
            </w:r>
          </w:p>
        </w:tc>
        <w:tc>
          <w:tcPr>
            <w:tcW w:w="1552" w:type="pct"/>
            <w:tcBorders>
              <w:top w:val="nil"/>
              <w:left w:val="nil"/>
              <w:bottom w:val="nil"/>
              <w:right w:val="nil"/>
            </w:tcBorders>
          </w:tcPr>
          <w:p w14:paraId="413B00A3" w14:textId="77777777" w:rsidR="006D7F34" w:rsidRPr="00D10A96" w:rsidRDefault="006D7F34" w:rsidP="00494032">
            <w:pPr>
              <w:autoSpaceDE w:val="0"/>
              <w:autoSpaceDN w:val="0"/>
              <w:adjustRightInd w:val="0"/>
              <w:rPr>
                <w:rFonts w:ascii="Arial" w:hAnsi="Arial" w:cs="Arial"/>
                <w:i/>
                <w:iCs/>
                <w:color w:val="000000"/>
                <w:sz w:val="20"/>
                <w:szCs w:val="20"/>
              </w:rPr>
            </w:pPr>
            <w:r>
              <w:rPr>
                <w:rFonts w:ascii="Arial" w:hAnsi="Arial" w:cs="Arial"/>
                <w:color w:val="000000"/>
                <w:sz w:val="20"/>
                <w:szCs w:val="20"/>
              </w:rPr>
              <w:t>Develop</w:t>
            </w:r>
            <w:r w:rsidRPr="00D10A96">
              <w:rPr>
                <w:rFonts w:ascii="Arial" w:hAnsi="Arial" w:cs="Arial"/>
                <w:color w:val="000000"/>
                <w:sz w:val="20"/>
                <w:szCs w:val="20"/>
              </w:rPr>
              <w:t xml:space="preserve"> projects using participatory methods with autistic REM as team members </w:t>
            </w:r>
            <w:r w:rsidRPr="00D10A96">
              <w:rPr>
                <w:rFonts w:ascii="Arial" w:hAnsi="Arial" w:cs="Arial"/>
                <w:i/>
                <w:iCs/>
                <w:color w:val="000000"/>
                <w:sz w:val="20"/>
                <w:szCs w:val="20"/>
              </w:rPr>
              <w:t>in their roles of choice with accessible training on research</w:t>
            </w:r>
          </w:p>
        </w:tc>
      </w:tr>
      <w:tr w:rsidR="006D7F34" w:rsidRPr="00D10A96" w14:paraId="43ADCD74" w14:textId="77777777" w:rsidTr="00494032">
        <w:trPr>
          <w:trHeight w:val="981"/>
        </w:trPr>
        <w:tc>
          <w:tcPr>
            <w:tcW w:w="788" w:type="pct"/>
            <w:tcBorders>
              <w:top w:val="nil"/>
              <w:left w:val="nil"/>
              <w:bottom w:val="nil"/>
              <w:right w:val="nil"/>
            </w:tcBorders>
          </w:tcPr>
          <w:p w14:paraId="477C49FD"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084" w:type="pct"/>
            <w:tcBorders>
              <w:top w:val="nil"/>
              <w:left w:val="nil"/>
              <w:bottom w:val="nil"/>
              <w:right w:val="nil"/>
            </w:tcBorders>
          </w:tcPr>
          <w:p w14:paraId="062F50EC"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576" w:type="pct"/>
            <w:tcBorders>
              <w:top w:val="nil"/>
              <w:left w:val="nil"/>
              <w:bottom w:val="nil"/>
              <w:right w:val="nil"/>
            </w:tcBorders>
          </w:tcPr>
          <w:p w14:paraId="60401153" w14:textId="77777777" w:rsidR="006D7F34" w:rsidRPr="00D10A96" w:rsidRDefault="006D7F34" w:rsidP="00494032">
            <w:pPr>
              <w:autoSpaceDE w:val="0"/>
              <w:autoSpaceDN w:val="0"/>
              <w:adjustRightInd w:val="0"/>
              <w:rPr>
                <w:rFonts w:ascii="Arial" w:hAnsi="Arial" w:cs="Arial"/>
                <w:i/>
                <w:iCs/>
                <w:color w:val="000000"/>
                <w:sz w:val="20"/>
                <w:szCs w:val="20"/>
              </w:rPr>
            </w:pPr>
            <w:r w:rsidRPr="00D10A96">
              <w:rPr>
                <w:rFonts w:ascii="Arial" w:hAnsi="Arial" w:cs="Arial"/>
                <w:color w:val="000000"/>
                <w:sz w:val="20"/>
                <w:szCs w:val="20"/>
              </w:rPr>
              <w:t xml:space="preserve">Tailor research practices for autistic REM </w:t>
            </w:r>
            <w:r w:rsidRPr="00D10A96">
              <w:rPr>
                <w:rFonts w:ascii="Arial" w:hAnsi="Arial" w:cs="Arial"/>
                <w:i/>
                <w:iCs/>
                <w:color w:val="000000"/>
                <w:sz w:val="20"/>
                <w:szCs w:val="20"/>
              </w:rPr>
              <w:t>as part of a comprehensive plan</w:t>
            </w:r>
          </w:p>
        </w:tc>
        <w:tc>
          <w:tcPr>
            <w:tcW w:w="1552" w:type="pct"/>
            <w:tcBorders>
              <w:top w:val="nil"/>
              <w:left w:val="nil"/>
              <w:bottom w:val="nil"/>
              <w:right w:val="nil"/>
            </w:tcBorders>
          </w:tcPr>
          <w:p w14:paraId="14E581B6"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 xml:space="preserve">Develop and implement specific recruitment, data collection, and engagement practices (e.g., consider both </w:t>
            </w:r>
            <w:r w:rsidRPr="00D10A96">
              <w:rPr>
                <w:rFonts w:ascii="Arial" w:hAnsi="Arial" w:cs="Arial"/>
                <w:i/>
                <w:iCs/>
                <w:color w:val="000000"/>
                <w:sz w:val="20"/>
                <w:szCs w:val="20"/>
              </w:rPr>
              <w:t xml:space="preserve">broad </w:t>
            </w:r>
            <w:r w:rsidRPr="00D10A96">
              <w:rPr>
                <w:rFonts w:ascii="Arial" w:hAnsi="Arial" w:cs="Arial"/>
                <w:color w:val="000000"/>
                <w:sz w:val="20"/>
                <w:szCs w:val="20"/>
              </w:rPr>
              <w:t xml:space="preserve">cultural norms and </w:t>
            </w:r>
            <w:r w:rsidRPr="00D10A96">
              <w:rPr>
                <w:rFonts w:ascii="Arial" w:hAnsi="Arial" w:cs="Arial"/>
                <w:i/>
                <w:iCs/>
                <w:color w:val="000000"/>
                <w:sz w:val="20"/>
                <w:szCs w:val="20"/>
              </w:rPr>
              <w:t xml:space="preserve">specific </w:t>
            </w:r>
            <w:r w:rsidRPr="00D10A96">
              <w:rPr>
                <w:rFonts w:ascii="Arial" w:hAnsi="Arial" w:cs="Arial"/>
                <w:color w:val="000000"/>
                <w:sz w:val="20"/>
                <w:szCs w:val="20"/>
              </w:rPr>
              <w:t>within-group heterogeneity)</w:t>
            </w:r>
          </w:p>
        </w:tc>
      </w:tr>
      <w:tr w:rsidR="006D7F34" w:rsidRPr="00D10A96" w14:paraId="7E893A72" w14:textId="77777777" w:rsidTr="00494032">
        <w:trPr>
          <w:trHeight w:val="720"/>
        </w:trPr>
        <w:tc>
          <w:tcPr>
            <w:tcW w:w="788" w:type="pct"/>
            <w:tcBorders>
              <w:top w:val="nil"/>
              <w:left w:val="nil"/>
              <w:bottom w:val="nil"/>
              <w:right w:val="nil"/>
            </w:tcBorders>
          </w:tcPr>
          <w:p w14:paraId="7DAFA6AA" w14:textId="77777777" w:rsidR="006D7F34"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Teaching</w:t>
            </w:r>
            <w:r>
              <w:rPr>
                <w:rFonts w:ascii="Arial" w:hAnsi="Arial" w:cs="Arial"/>
                <w:color w:val="000000"/>
                <w:sz w:val="20"/>
                <w:szCs w:val="20"/>
              </w:rPr>
              <w:t xml:space="preserve"> and mentorship</w:t>
            </w:r>
          </w:p>
          <w:p w14:paraId="5699CB8E" w14:textId="77777777" w:rsidR="006D7F34" w:rsidRPr="00D10A96" w:rsidRDefault="006D7F34" w:rsidP="00494032">
            <w:pPr>
              <w:autoSpaceDE w:val="0"/>
              <w:autoSpaceDN w:val="0"/>
              <w:adjustRightInd w:val="0"/>
              <w:rPr>
                <w:rFonts w:ascii="Arial" w:hAnsi="Arial" w:cs="Arial"/>
                <w:color w:val="000000"/>
                <w:sz w:val="20"/>
                <w:szCs w:val="20"/>
              </w:rPr>
            </w:pPr>
          </w:p>
        </w:tc>
        <w:tc>
          <w:tcPr>
            <w:tcW w:w="1084" w:type="pct"/>
            <w:tcBorders>
              <w:top w:val="nil"/>
              <w:left w:val="nil"/>
              <w:bottom w:val="nil"/>
              <w:right w:val="nil"/>
            </w:tcBorders>
          </w:tcPr>
          <w:p w14:paraId="6522F3E8"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Training environment</w:t>
            </w:r>
          </w:p>
        </w:tc>
        <w:tc>
          <w:tcPr>
            <w:tcW w:w="1576" w:type="pct"/>
            <w:tcBorders>
              <w:top w:val="nil"/>
              <w:left w:val="nil"/>
              <w:bottom w:val="nil"/>
              <w:right w:val="nil"/>
            </w:tcBorders>
          </w:tcPr>
          <w:p w14:paraId="08F3E5A6"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Provide accessible training</w:t>
            </w:r>
          </w:p>
        </w:tc>
        <w:tc>
          <w:tcPr>
            <w:tcW w:w="1552" w:type="pct"/>
            <w:tcBorders>
              <w:top w:val="nil"/>
              <w:left w:val="nil"/>
              <w:bottom w:val="nil"/>
              <w:right w:val="nil"/>
            </w:tcBorders>
          </w:tcPr>
          <w:p w14:paraId="0FBDC708"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 xml:space="preserve">Make the hidden curriculum of research transparent by learning about </w:t>
            </w:r>
            <w:r>
              <w:rPr>
                <w:rFonts w:ascii="Arial" w:hAnsi="Arial" w:cs="Arial"/>
                <w:color w:val="000000"/>
                <w:sz w:val="20"/>
                <w:szCs w:val="20"/>
              </w:rPr>
              <w:t xml:space="preserve">and using </w:t>
            </w:r>
            <w:r w:rsidRPr="00D10A96">
              <w:rPr>
                <w:rFonts w:ascii="Arial" w:hAnsi="Arial" w:cs="Arial"/>
                <w:color w:val="000000"/>
                <w:sz w:val="20"/>
                <w:szCs w:val="20"/>
              </w:rPr>
              <w:t xml:space="preserve">best </w:t>
            </w:r>
            <w:r>
              <w:rPr>
                <w:rFonts w:ascii="Arial" w:hAnsi="Arial" w:cs="Arial"/>
                <w:color w:val="000000"/>
                <w:sz w:val="20"/>
                <w:szCs w:val="20"/>
              </w:rPr>
              <w:t>Scholarship of Teaching and Learning</w:t>
            </w:r>
            <w:r w:rsidRPr="00D10A96" w:rsidDel="00701E76">
              <w:rPr>
                <w:rFonts w:ascii="Arial" w:hAnsi="Arial" w:cs="Arial"/>
                <w:color w:val="000000"/>
                <w:sz w:val="20"/>
                <w:szCs w:val="20"/>
              </w:rPr>
              <w:t xml:space="preserve"> </w:t>
            </w:r>
            <w:r w:rsidRPr="00D10A96">
              <w:rPr>
                <w:rFonts w:ascii="Arial" w:hAnsi="Arial" w:cs="Arial"/>
                <w:color w:val="000000"/>
                <w:sz w:val="20"/>
                <w:szCs w:val="20"/>
              </w:rPr>
              <w:t>practices for autistic REM</w:t>
            </w:r>
          </w:p>
        </w:tc>
      </w:tr>
      <w:tr w:rsidR="006D7F34" w:rsidRPr="00D10A96" w14:paraId="5F26FE81" w14:textId="77777777" w:rsidTr="00494032">
        <w:trPr>
          <w:trHeight w:val="720"/>
        </w:trPr>
        <w:tc>
          <w:tcPr>
            <w:tcW w:w="788" w:type="pct"/>
            <w:tcBorders>
              <w:top w:val="nil"/>
              <w:left w:val="nil"/>
              <w:bottom w:val="nil"/>
              <w:right w:val="nil"/>
            </w:tcBorders>
          </w:tcPr>
          <w:p w14:paraId="71941E9F" w14:textId="77777777" w:rsidR="006D7F34" w:rsidRPr="00D10A96" w:rsidRDefault="006D7F34" w:rsidP="00494032">
            <w:pPr>
              <w:autoSpaceDE w:val="0"/>
              <w:autoSpaceDN w:val="0"/>
              <w:adjustRightInd w:val="0"/>
              <w:rPr>
                <w:rFonts w:ascii="Arial" w:hAnsi="Arial" w:cs="Arial"/>
                <w:color w:val="000000"/>
                <w:sz w:val="20"/>
                <w:szCs w:val="20"/>
              </w:rPr>
            </w:pPr>
          </w:p>
        </w:tc>
        <w:tc>
          <w:tcPr>
            <w:tcW w:w="1084" w:type="pct"/>
            <w:tcBorders>
              <w:top w:val="nil"/>
              <w:left w:val="nil"/>
              <w:bottom w:val="nil"/>
              <w:right w:val="nil"/>
            </w:tcBorders>
          </w:tcPr>
          <w:p w14:paraId="5A67B9AA" w14:textId="77777777" w:rsidR="006D7F34" w:rsidRPr="00D10A96" w:rsidRDefault="006D7F34" w:rsidP="00494032">
            <w:pPr>
              <w:autoSpaceDE w:val="0"/>
              <w:autoSpaceDN w:val="0"/>
              <w:adjustRightInd w:val="0"/>
              <w:rPr>
                <w:rFonts w:ascii="Arial" w:hAnsi="Arial" w:cs="Arial"/>
                <w:color w:val="000000"/>
                <w:sz w:val="20"/>
                <w:szCs w:val="20"/>
              </w:rPr>
            </w:pPr>
          </w:p>
        </w:tc>
        <w:tc>
          <w:tcPr>
            <w:tcW w:w="1576" w:type="pct"/>
            <w:tcBorders>
              <w:top w:val="nil"/>
              <w:left w:val="nil"/>
              <w:bottom w:val="nil"/>
              <w:right w:val="nil"/>
            </w:tcBorders>
          </w:tcPr>
          <w:p w14:paraId="584A8AFE" w14:textId="77777777" w:rsidR="006D7F34" w:rsidRPr="000A4A90" w:rsidRDefault="006D7F34" w:rsidP="00494032">
            <w:pPr>
              <w:autoSpaceDE w:val="0"/>
              <w:autoSpaceDN w:val="0"/>
              <w:adjustRightInd w:val="0"/>
              <w:rPr>
                <w:rFonts w:ascii="Arial" w:hAnsi="Arial" w:cs="Arial"/>
                <w:color w:val="000000"/>
                <w:sz w:val="20"/>
                <w:szCs w:val="20"/>
                <w:u w:val="single"/>
              </w:rPr>
            </w:pPr>
            <w:r>
              <w:rPr>
                <w:rFonts w:ascii="Arial" w:hAnsi="Arial" w:cs="Arial"/>
                <w:color w:val="000000"/>
                <w:sz w:val="20"/>
                <w:szCs w:val="20"/>
                <w:u w:val="single"/>
              </w:rPr>
              <w:t>Leverage existing resources</w:t>
            </w:r>
          </w:p>
        </w:tc>
        <w:tc>
          <w:tcPr>
            <w:tcW w:w="1552" w:type="pct"/>
            <w:tcBorders>
              <w:top w:val="nil"/>
              <w:left w:val="nil"/>
              <w:bottom w:val="nil"/>
              <w:right w:val="nil"/>
            </w:tcBorders>
          </w:tcPr>
          <w:p w14:paraId="3EC3231E" w14:textId="77777777" w:rsidR="006D7F34" w:rsidRPr="000A4A90" w:rsidRDefault="006D7F34" w:rsidP="00494032">
            <w:pPr>
              <w:autoSpaceDE w:val="0"/>
              <w:autoSpaceDN w:val="0"/>
              <w:adjustRightInd w:val="0"/>
              <w:rPr>
                <w:rFonts w:ascii="Arial" w:hAnsi="Arial" w:cs="Arial"/>
                <w:color w:val="000000"/>
                <w:sz w:val="20"/>
                <w:szCs w:val="20"/>
                <w:u w:val="single"/>
              </w:rPr>
            </w:pPr>
            <w:r>
              <w:rPr>
                <w:rFonts w:ascii="Arial" w:hAnsi="Arial" w:cs="Arial"/>
                <w:color w:val="000000"/>
                <w:sz w:val="20"/>
                <w:szCs w:val="20"/>
                <w:u w:val="single"/>
              </w:rPr>
              <w:t>Consider existing resources, such as the Cultural Adaptation Checklist (Lee et al., 2022), and examples of how to integrate race and dis/ability-conscious practices into research</w:t>
            </w:r>
          </w:p>
        </w:tc>
      </w:tr>
      <w:tr w:rsidR="006D7F34" w:rsidRPr="00D10A96" w14:paraId="35F0A063" w14:textId="77777777" w:rsidTr="00494032">
        <w:trPr>
          <w:trHeight w:val="720"/>
        </w:trPr>
        <w:tc>
          <w:tcPr>
            <w:tcW w:w="788" w:type="pct"/>
            <w:tcBorders>
              <w:top w:val="nil"/>
              <w:left w:val="nil"/>
              <w:bottom w:val="nil"/>
              <w:right w:val="nil"/>
            </w:tcBorders>
          </w:tcPr>
          <w:p w14:paraId="75FE7513" w14:textId="77777777" w:rsidR="006D7F34" w:rsidRPr="00D10A96" w:rsidRDefault="006D7F34" w:rsidP="00494032">
            <w:pPr>
              <w:autoSpaceDE w:val="0"/>
              <w:autoSpaceDN w:val="0"/>
              <w:adjustRightInd w:val="0"/>
              <w:rPr>
                <w:rFonts w:ascii="Arial" w:hAnsi="Arial" w:cs="Arial"/>
                <w:color w:val="000000"/>
                <w:sz w:val="20"/>
                <w:szCs w:val="20"/>
              </w:rPr>
            </w:pPr>
          </w:p>
        </w:tc>
        <w:tc>
          <w:tcPr>
            <w:tcW w:w="1084" w:type="pct"/>
            <w:tcBorders>
              <w:top w:val="nil"/>
              <w:left w:val="nil"/>
              <w:bottom w:val="nil"/>
              <w:right w:val="nil"/>
            </w:tcBorders>
          </w:tcPr>
          <w:p w14:paraId="3DDE4E6B" w14:textId="77777777" w:rsidR="006D7F34" w:rsidRPr="00D10A96" w:rsidRDefault="006D7F34" w:rsidP="00494032">
            <w:pPr>
              <w:autoSpaceDE w:val="0"/>
              <w:autoSpaceDN w:val="0"/>
              <w:adjustRightInd w:val="0"/>
              <w:rPr>
                <w:rFonts w:ascii="Arial" w:hAnsi="Arial" w:cs="Arial"/>
                <w:color w:val="000000"/>
                <w:sz w:val="20"/>
                <w:szCs w:val="20"/>
              </w:rPr>
            </w:pPr>
          </w:p>
        </w:tc>
        <w:tc>
          <w:tcPr>
            <w:tcW w:w="1576" w:type="pct"/>
            <w:tcBorders>
              <w:top w:val="nil"/>
              <w:left w:val="nil"/>
              <w:bottom w:val="nil"/>
              <w:right w:val="nil"/>
            </w:tcBorders>
          </w:tcPr>
          <w:p w14:paraId="147323BC" w14:textId="77777777" w:rsidR="006D7F34" w:rsidRPr="00D10A96" w:rsidRDefault="006D7F34" w:rsidP="00494032">
            <w:pPr>
              <w:autoSpaceDE w:val="0"/>
              <w:autoSpaceDN w:val="0"/>
              <w:adjustRightInd w:val="0"/>
              <w:rPr>
                <w:rFonts w:ascii="Arial" w:hAnsi="Arial" w:cs="Arial"/>
                <w:color w:val="000000"/>
                <w:sz w:val="20"/>
                <w:szCs w:val="20"/>
              </w:rPr>
            </w:pPr>
            <w:r>
              <w:rPr>
                <w:rFonts w:ascii="Arial" w:hAnsi="Arial" w:cs="Arial"/>
                <w:color w:val="000000"/>
                <w:sz w:val="20"/>
                <w:szCs w:val="20"/>
              </w:rPr>
              <w:t>Advance autistic REM as critical voices to learn from in academia and higher education</w:t>
            </w:r>
          </w:p>
        </w:tc>
        <w:tc>
          <w:tcPr>
            <w:tcW w:w="1552" w:type="pct"/>
            <w:tcBorders>
              <w:top w:val="nil"/>
              <w:left w:val="nil"/>
              <w:bottom w:val="nil"/>
              <w:right w:val="nil"/>
            </w:tcBorders>
          </w:tcPr>
          <w:p w14:paraId="202E9401" w14:textId="77777777" w:rsidR="006D7F34" w:rsidRPr="00CE0A86" w:rsidRDefault="006D7F34" w:rsidP="00494032">
            <w:pPr>
              <w:autoSpaceDE w:val="0"/>
              <w:autoSpaceDN w:val="0"/>
              <w:adjustRightInd w:val="0"/>
              <w:rPr>
                <w:rFonts w:ascii="Arial" w:hAnsi="Arial" w:cs="Arial"/>
                <w:i/>
                <w:iCs/>
                <w:color w:val="000000"/>
                <w:sz w:val="20"/>
                <w:szCs w:val="20"/>
              </w:rPr>
            </w:pPr>
            <w:r>
              <w:rPr>
                <w:rFonts w:ascii="Arial" w:hAnsi="Arial" w:cs="Arial"/>
                <w:color w:val="000000"/>
                <w:sz w:val="20"/>
                <w:szCs w:val="20"/>
              </w:rPr>
              <w:t xml:space="preserve">Invite autistic REM to provide education (e.g., invited talks) to labs, classes, etc., in ways </w:t>
            </w:r>
            <w:r>
              <w:rPr>
                <w:rFonts w:ascii="Arial" w:hAnsi="Arial" w:cs="Arial"/>
                <w:i/>
                <w:iCs/>
                <w:color w:val="000000"/>
                <w:sz w:val="20"/>
                <w:szCs w:val="20"/>
              </w:rPr>
              <w:t>that align to their interests and goals</w:t>
            </w:r>
          </w:p>
        </w:tc>
      </w:tr>
      <w:tr w:rsidR="006D7F34" w:rsidRPr="00D10A96" w14:paraId="6C0825B3" w14:textId="77777777" w:rsidTr="00494032">
        <w:trPr>
          <w:trHeight w:val="243"/>
        </w:trPr>
        <w:tc>
          <w:tcPr>
            <w:tcW w:w="788" w:type="pct"/>
            <w:tcBorders>
              <w:top w:val="nil"/>
              <w:left w:val="nil"/>
              <w:bottom w:val="nil"/>
              <w:right w:val="nil"/>
            </w:tcBorders>
          </w:tcPr>
          <w:p w14:paraId="6B45CE61" w14:textId="77777777" w:rsidR="006D7F34" w:rsidRPr="00D10A96" w:rsidRDefault="006D7F34" w:rsidP="00494032">
            <w:pPr>
              <w:autoSpaceDE w:val="0"/>
              <w:autoSpaceDN w:val="0"/>
              <w:adjustRightInd w:val="0"/>
              <w:rPr>
                <w:rFonts w:ascii="Arial" w:hAnsi="Arial" w:cs="Arial"/>
                <w:color w:val="000000"/>
                <w:sz w:val="20"/>
                <w:szCs w:val="20"/>
              </w:rPr>
            </w:pPr>
          </w:p>
        </w:tc>
        <w:tc>
          <w:tcPr>
            <w:tcW w:w="1084" w:type="pct"/>
            <w:tcBorders>
              <w:top w:val="nil"/>
              <w:left w:val="nil"/>
              <w:bottom w:val="nil"/>
              <w:right w:val="nil"/>
            </w:tcBorders>
          </w:tcPr>
          <w:p w14:paraId="700B45F6" w14:textId="77777777" w:rsidR="006D7F34" w:rsidRPr="00D10A96" w:rsidRDefault="006D7F34" w:rsidP="00494032">
            <w:pPr>
              <w:autoSpaceDE w:val="0"/>
              <w:autoSpaceDN w:val="0"/>
              <w:adjustRightInd w:val="0"/>
              <w:rPr>
                <w:rFonts w:ascii="Arial" w:hAnsi="Arial" w:cs="Arial"/>
                <w:color w:val="000000"/>
                <w:sz w:val="20"/>
                <w:szCs w:val="20"/>
              </w:rPr>
            </w:pPr>
          </w:p>
        </w:tc>
        <w:tc>
          <w:tcPr>
            <w:tcW w:w="1576" w:type="pct"/>
            <w:tcBorders>
              <w:top w:val="nil"/>
              <w:left w:val="nil"/>
              <w:bottom w:val="nil"/>
              <w:right w:val="nil"/>
            </w:tcBorders>
          </w:tcPr>
          <w:p w14:paraId="7B87EFC4" w14:textId="77777777" w:rsidR="006D7F34" w:rsidRDefault="006D7F34" w:rsidP="00494032">
            <w:pPr>
              <w:autoSpaceDE w:val="0"/>
              <w:autoSpaceDN w:val="0"/>
              <w:adjustRightInd w:val="0"/>
              <w:rPr>
                <w:rFonts w:ascii="Arial" w:hAnsi="Arial" w:cs="Arial"/>
                <w:color w:val="000000"/>
                <w:sz w:val="20"/>
                <w:szCs w:val="20"/>
              </w:rPr>
            </w:pPr>
            <w:r>
              <w:rPr>
                <w:rFonts w:ascii="Arial" w:hAnsi="Arial" w:cs="Arial"/>
                <w:color w:val="000000"/>
                <w:sz w:val="20"/>
                <w:szCs w:val="20"/>
              </w:rPr>
              <w:t>Practice full inclusion of autistic REM in autism research</w:t>
            </w:r>
          </w:p>
        </w:tc>
        <w:tc>
          <w:tcPr>
            <w:tcW w:w="1552" w:type="pct"/>
            <w:tcBorders>
              <w:top w:val="nil"/>
              <w:left w:val="nil"/>
              <w:bottom w:val="nil"/>
              <w:right w:val="nil"/>
            </w:tcBorders>
          </w:tcPr>
          <w:p w14:paraId="290626B8" w14:textId="77777777" w:rsidR="006D7F34" w:rsidRDefault="006D7F34" w:rsidP="00494032">
            <w:pPr>
              <w:autoSpaceDE w:val="0"/>
              <w:autoSpaceDN w:val="0"/>
              <w:adjustRightInd w:val="0"/>
              <w:rPr>
                <w:rFonts w:ascii="Arial" w:hAnsi="Arial" w:cs="Arial"/>
                <w:color w:val="000000"/>
                <w:sz w:val="20"/>
                <w:szCs w:val="20"/>
              </w:rPr>
            </w:pPr>
            <w:r>
              <w:rPr>
                <w:rFonts w:ascii="Arial" w:hAnsi="Arial" w:cs="Arial"/>
                <w:color w:val="000000"/>
                <w:sz w:val="20"/>
                <w:szCs w:val="20"/>
              </w:rPr>
              <w:t>Purposefully mentor autistic REM</w:t>
            </w:r>
          </w:p>
        </w:tc>
      </w:tr>
      <w:tr w:rsidR="006D7F34" w:rsidRPr="00D10A96" w14:paraId="14C43F9F" w14:textId="77777777" w:rsidTr="00494032">
        <w:trPr>
          <w:trHeight w:val="495"/>
        </w:trPr>
        <w:tc>
          <w:tcPr>
            <w:tcW w:w="788" w:type="pct"/>
            <w:tcBorders>
              <w:top w:val="nil"/>
              <w:left w:val="nil"/>
              <w:bottom w:val="nil"/>
              <w:right w:val="nil"/>
            </w:tcBorders>
          </w:tcPr>
          <w:p w14:paraId="0F9B4176"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Service</w:t>
            </w:r>
          </w:p>
        </w:tc>
        <w:tc>
          <w:tcPr>
            <w:tcW w:w="1084" w:type="pct"/>
            <w:tcBorders>
              <w:top w:val="nil"/>
              <w:left w:val="nil"/>
              <w:bottom w:val="nil"/>
              <w:right w:val="nil"/>
            </w:tcBorders>
          </w:tcPr>
          <w:p w14:paraId="522B020A"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Journals</w:t>
            </w:r>
          </w:p>
        </w:tc>
        <w:tc>
          <w:tcPr>
            <w:tcW w:w="1576" w:type="pct"/>
            <w:tcBorders>
              <w:top w:val="nil"/>
              <w:left w:val="nil"/>
              <w:bottom w:val="nil"/>
              <w:right w:val="nil"/>
            </w:tcBorders>
          </w:tcPr>
          <w:p w14:paraId="56FA1FFC" w14:textId="77777777" w:rsidR="006D7F34" w:rsidRPr="00701E7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Center the criticality of diversity in research</w:t>
            </w:r>
          </w:p>
        </w:tc>
        <w:tc>
          <w:tcPr>
            <w:tcW w:w="1552" w:type="pct"/>
            <w:tcBorders>
              <w:top w:val="nil"/>
              <w:left w:val="nil"/>
              <w:bottom w:val="nil"/>
              <w:right w:val="nil"/>
            </w:tcBorders>
          </w:tcPr>
          <w:p w14:paraId="54A9E508" w14:textId="77777777" w:rsidR="006D7F34" w:rsidRPr="00D10A96" w:rsidRDefault="006D7F34" w:rsidP="00494032">
            <w:pPr>
              <w:autoSpaceDE w:val="0"/>
              <w:autoSpaceDN w:val="0"/>
              <w:adjustRightInd w:val="0"/>
              <w:rPr>
                <w:rFonts w:ascii="Arial" w:hAnsi="Arial" w:cs="Arial"/>
                <w:i/>
                <w:iCs/>
                <w:color w:val="000000"/>
                <w:sz w:val="20"/>
                <w:szCs w:val="20"/>
              </w:rPr>
            </w:pPr>
            <w:r w:rsidRPr="00D10A96">
              <w:rPr>
                <w:rFonts w:ascii="Arial" w:hAnsi="Arial" w:cs="Arial"/>
                <w:color w:val="000000"/>
                <w:sz w:val="20"/>
                <w:szCs w:val="20"/>
              </w:rPr>
              <w:t xml:space="preserve">Develop an equity plan with autistic REM and </w:t>
            </w:r>
            <w:r w:rsidRPr="00D10A96">
              <w:rPr>
                <w:rFonts w:ascii="Arial" w:hAnsi="Arial" w:cs="Arial"/>
                <w:i/>
                <w:iCs/>
                <w:color w:val="000000"/>
                <w:sz w:val="20"/>
                <w:szCs w:val="20"/>
              </w:rPr>
              <w:t>public accountability metrics</w:t>
            </w:r>
          </w:p>
        </w:tc>
      </w:tr>
      <w:tr w:rsidR="006D7F34" w:rsidRPr="00D10A96" w14:paraId="3D2FEB7E" w14:textId="77777777" w:rsidTr="00494032">
        <w:trPr>
          <w:trHeight w:val="504"/>
        </w:trPr>
        <w:tc>
          <w:tcPr>
            <w:tcW w:w="788" w:type="pct"/>
            <w:tcBorders>
              <w:top w:val="nil"/>
              <w:left w:val="nil"/>
              <w:bottom w:val="nil"/>
              <w:right w:val="nil"/>
            </w:tcBorders>
          </w:tcPr>
          <w:p w14:paraId="47C976D3"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084" w:type="pct"/>
            <w:tcBorders>
              <w:top w:val="nil"/>
              <w:left w:val="nil"/>
              <w:bottom w:val="nil"/>
              <w:right w:val="nil"/>
            </w:tcBorders>
          </w:tcPr>
          <w:p w14:paraId="16E0621C"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576" w:type="pct"/>
            <w:tcBorders>
              <w:top w:val="nil"/>
              <w:left w:val="nil"/>
              <w:bottom w:val="nil"/>
              <w:right w:val="nil"/>
            </w:tcBorders>
          </w:tcPr>
          <w:p w14:paraId="39207D67"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552" w:type="pct"/>
            <w:tcBorders>
              <w:top w:val="nil"/>
              <w:left w:val="nil"/>
              <w:bottom w:val="nil"/>
              <w:right w:val="nil"/>
            </w:tcBorders>
          </w:tcPr>
          <w:p w14:paraId="2E7798DC" w14:textId="77777777" w:rsidR="006D7F34" w:rsidRPr="00D10A96" w:rsidRDefault="006D7F34" w:rsidP="00494032">
            <w:pPr>
              <w:autoSpaceDE w:val="0"/>
              <w:autoSpaceDN w:val="0"/>
              <w:adjustRightInd w:val="0"/>
              <w:rPr>
                <w:rFonts w:ascii="Arial" w:hAnsi="Arial" w:cs="Arial"/>
                <w:i/>
                <w:iCs/>
                <w:color w:val="000000"/>
                <w:sz w:val="20"/>
                <w:szCs w:val="20"/>
              </w:rPr>
            </w:pPr>
            <w:r w:rsidRPr="00D10A96">
              <w:rPr>
                <w:rFonts w:ascii="Arial" w:hAnsi="Arial" w:cs="Arial"/>
                <w:color w:val="000000"/>
                <w:sz w:val="20"/>
                <w:szCs w:val="20"/>
              </w:rPr>
              <w:t xml:space="preserve">Frame papers pertaining to diversity as excellence in science, </w:t>
            </w:r>
            <w:r w:rsidRPr="00D10A96">
              <w:rPr>
                <w:rFonts w:ascii="Arial" w:hAnsi="Arial" w:cs="Arial"/>
                <w:i/>
                <w:iCs/>
                <w:color w:val="000000"/>
                <w:sz w:val="20"/>
                <w:szCs w:val="20"/>
              </w:rPr>
              <w:t>not DEI in science</w:t>
            </w:r>
          </w:p>
        </w:tc>
      </w:tr>
      <w:tr w:rsidR="006D7F34" w:rsidRPr="00D10A96" w14:paraId="1C6F0639" w14:textId="77777777" w:rsidTr="00494032">
        <w:trPr>
          <w:trHeight w:val="675"/>
        </w:trPr>
        <w:tc>
          <w:tcPr>
            <w:tcW w:w="788" w:type="pct"/>
            <w:tcBorders>
              <w:top w:val="nil"/>
              <w:left w:val="nil"/>
              <w:bottom w:val="nil"/>
              <w:right w:val="nil"/>
            </w:tcBorders>
          </w:tcPr>
          <w:p w14:paraId="726A03C2"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084" w:type="pct"/>
            <w:tcBorders>
              <w:top w:val="nil"/>
              <w:left w:val="nil"/>
              <w:bottom w:val="nil"/>
              <w:right w:val="nil"/>
            </w:tcBorders>
          </w:tcPr>
          <w:p w14:paraId="681F1226"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Community engagement</w:t>
            </w:r>
          </w:p>
        </w:tc>
        <w:tc>
          <w:tcPr>
            <w:tcW w:w="1576" w:type="pct"/>
            <w:tcBorders>
              <w:top w:val="nil"/>
              <w:left w:val="nil"/>
              <w:bottom w:val="nil"/>
              <w:right w:val="nil"/>
            </w:tcBorders>
          </w:tcPr>
          <w:p w14:paraId="0B083292"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Be in community</w:t>
            </w:r>
          </w:p>
        </w:tc>
        <w:tc>
          <w:tcPr>
            <w:tcW w:w="1552" w:type="pct"/>
            <w:tcBorders>
              <w:top w:val="nil"/>
              <w:left w:val="nil"/>
              <w:bottom w:val="nil"/>
              <w:right w:val="nil"/>
            </w:tcBorders>
          </w:tcPr>
          <w:p w14:paraId="5488BAB1" w14:textId="77777777" w:rsidR="006D7F34" w:rsidRPr="00D10A96" w:rsidRDefault="006D7F34" w:rsidP="00494032">
            <w:pPr>
              <w:autoSpaceDE w:val="0"/>
              <w:autoSpaceDN w:val="0"/>
              <w:adjustRightInd w:val="0"/>
              <w:rPr>
                <w:rFonts w:ascii="Arial" w:hAnsi="Arial" w:cs="Arial"/>
                <w:i/>
                <w:iCs/>
                <w:color w:val="000000"/>
                <w:sz w:val="20"/>
                <w:szCs w:val="20"/>
              </w:rPr>
            </w:pPr>
            <w:r w:rsidRPr="00D10A96">
              <w:rPr>
                <w:rFonts w:ascii="Arial" w:hAnsi="Arial" w:cs="Arial"/>
                <w:color w:val="000000"/>
                <w:sz w:val="20"/>
                <w:szCs w:val="20"/>
              </w:rPr>
              <w:t xml:space="preserve">Reach out to community organizations serving autistic REM and get involved on their terms </w:t>
            </w:r>
            <w:r w:rsidRPr="00D10A96">
              <w:rPr>
                <w:rFonts w:ascii="Arial" w:hAnsi="Arial" w:cs="Arial"/>
                <w:i/>
                <w:iCs/>
                <w:color w:val="000000"/>
                <w:sz w:val="20"/>
                <w:szCs w:val="20"/>
              </w:rPr>
              <w:t>without expectations for partnership in research</w:t>
            </w:r>
          </w:p>
        </w:tc>
      </w:tr>
      <w:tr w:rsidR="006D7F34" w:rsidRPr="00D10A96" w14:paraId="2D6A9B43" w14:textId="77777777" w:rsidTr="00494032">
        <w:trPr>
          <w:trHeight w:val="441"/>
        </w:trPr>
        <w:tc>
          <w:tcPr>
            <w:tcW w:w="788" w:type="pct"/>
            <w:tcBorders>
              <w:top w:val="nil"/>
              <w:left w:val="nil"/>
              <w:bottom w:val="nil"/>
              <w:right w:val="nil"/>
            </w:tcBorders>
          </w:tcPr>
          <w:p w14:paraId="6A4E7E17"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084" w:type="pct"/>
            <w:tcBorders>
              <w:top w:val="nil"/>
              <w:left w:val="nil"/>
              <w:bottom w:val="nil"/>
              <w:right w:val="nil"/>
            </w:tcBorders>
          </w:tcPr>
          <w:p w14:paraId="604819D6"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Institutional advocacy</w:t>
            </w:r>
          </w:p>
        </w:tc>
        <w:tc>
          <w:tcPr>
            <w:tcW w:w="1576" w:type="pct"/>
            <w:tcBorders>
              <w:top w:val="nil"/>
              <w:left w:val="nil"/>
              <w:bottom w:val="nil"/>
              <w:right w:val="nil"/>
            </w:tcBorders>
          </w:tcPr>
          <w:p w14:paraId="49140CA5"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 xml:space="preserve">Advance autistic REM as leaders in the professional landscape </w:t>
            </w:r>
          </w:p>
        </w:tc>
        <w:tc>
          <w:tcPr>
            <w:tcW w:w="1552" w:type="pct"/>
            <w:tcBorders>
              <w:top w:val="nil"/>
              <w:left w:val="nil"/>
              <w:bottom w:val="nil"/>
              <w:right w:val="nil"/>
            </w:tcBorders>
          </w:tcPr>
          <w:p w14:paraId="2135F0FB" w14:textId="77777777" w:rsidR="006D7F34" w:rsidRPr="00D10A96" w:rsidRDefault="006D7F34" w:rsidP="00494032">
            <w:pPr>
              <w:autoSpaceDE w:val="0"/>
              <w:autoSpaceDN w:val="0"/>
              <w:adjustRightInd w:val="0"/>
              <w:rPr>
                <w:rFonts w:ascii="Arial" w:hAnsi="Arial" w:cs="Arial"/>
                <w:i/>
                <w:iCs/>
                <w:color w:val="000000"/>
                <w:sz w:val="20"/>
                <w:szCs w:val="20"/>
              </w:rPr>
            </w:pPr>
            <w:r w:rsidRPr="00D10A96">
              <w:rPr>
                <w:rFonts w:ascii="Arial" w:hAnsi="Arial" w:cs="Arial"/>
                <w:color w:val="000000"/>
                <w:sz w:val="20"/>
                <w:szCs w:val="20"/>
              </w:rPr>
              <w:t xml:space="preserve">Nominate autistic REM for awards, honors </w:t>
            </w:r>
            <w:r>
              <w:rPr>
                <w:rFonts w:ascii="Arial" w:hAnsi="Arial" w:cs="Arial"/>
                <w:color w:val="000000"/>
                <w:sz w:val="20"/>
                <w:szCs w:val="20"/>
              </w:rPr>
              <w:t>and</w:t>
            </w:r>
            <w:r w:rsidRPr="00D10A96">
              <w:rPr>
                <w:rFonts w:ascii="Arial" w:hAnsi="Arial" w:cs="Arial"/>
                <w:color w:val="000000"/>
                <w:sz w:val="20"/>
                <w:szCs w:val="20"/>
              </w:rPr>
              <w:t xml:space="preserve"> leadership positions </w:t>
            </w:r>
            <w:r w:rsidRPr="00D10A96">
              <w:rPr>
                <w:rFonts w:ascii="Arial" w:hAnsi="Arial" w:cs="Arial"/>
                <w:i/>
                <w:iCs/>
                <w:color w:val="000000"/>
                <w:sz w:val="20"/>
                <w:szCs w:val="20"/>
              </w:rPr>
              <w:t>that serve their goals</w:t>
            </w:r>
          </w:p>
        </w:tc>
      </w:tr>
      <w:tr w:rsidR="006D7F34" w:rsidRPr="00D10A96" w14:paraId="611DF565" w14:textId="77777777" w:rsidTr="00494032">
        <w:trPr>
          <w:trHeight w:val="423"/>
        </w:trPr>
        <w:tc>
          <w:tcPr>
            <w:tcW w:w="788" w:type="pct"/>
            <w:tcBorders>
              <w:top w:val="nil"/>
              <w:left w:val="nil"/>
              <w:bottom w:val="nil"/>
              <w:right w:val="nil"/>
            </w:tcBorders>
          </w:tcPr>
          <w:p w14:paraId="6DD31727"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084" w:type="pct"/>
            <w:tcBorders>
              <w:top w:val="nil"/>
              <w:left w:val="nil"/>
              <w:bottom w:val="nil"/>
              <w:right w:val="nil"/>
            </w:tcBorders>
          </w:tcPr>
          <w:p w14:paraId="562C2DC0"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576" w:type="pct"/>
            <w:tcBorders>
              <w:top w:val="nil"/>
              <w:left w:val="nil"/>
              <w:bottom w:val="nil"/>
              <w:right w:val="nil"/>
            </w:tcBorders>
          </w:tcPr>
          <w:p w14:paraId="77E3FEE1"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552" w:type="pct"/>
            <w:tcBorders>
              <w:top w:val="nil"/>
              <w:left w:val="nil"/>
              <w:bottom w:val="nil"/>
              <w:right w:val="nil"/>
            </w:tcBorders>
          </w:tcPr>
          <w:p w14:paraId="00B5FFAB"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 xml:space="preserve">Advocate for funding of autistic REM proposals </w:t>
            </w:r>
            <w:r>
              <w:rPr>
                <w:rFonts w:ascii="Arial" w:hAnsi="Arial" w:cs="Arial"/>
                <w:color w:val="000000"/>
                <w:sz w:val="20"/>
                <w:szCs w:val="20"/>
              </w:rPr>
              <w:t>and</w:t>
            </w:r>
            <w:r w:rsidRPr="00D10A96">
              <w:rPr>
                <w:rFonts w:ascii="Arial" w:hAnsi="Arial" w:cs="Arial"/>
                <w:color w:val="000000"/>
                <w:sz w:val="20"/>
                <w:szCs w:val="20"/>
              </w:rPr>
              <w:t xml:space="preserve"> </w:t>
            </w:r>
            <w:r w:rsidRPr="00D10A96">
              <w:rPr>
                <w:rFonts w:ascii="Arial" w:hAnsi="Arial" w:cs="Arial"/>
                <w:color w:val="000000"/>
                <w:sz w:val="20"/>
                <w:szCs w:val="20"/>
              </w:rPr>
              <w:lastRenderedPageBreak/>
              <w:t>development of equity mechanisms in funding</w:t>
            </w:r>
          </w:p>
        </w:tc>
      </w:tr>
      <w:tr w:rsidR="006D7F34" w:rsidRPr="00D10A96" w14:paraId="2E675D2C" w14:textId="77777777" w:rsidTr="00494032">
        <w:trPr>
          <w:trHeight w:val="477"/>
        </w:trPr>
        <w:tc>
          <w:tcPr>
            <w:tcW w:w="788" w:type="pct"/>
            <w:tcBorders>
              <w:top w:val="nil"/>
              <w:left w:val="nil"/>
              <w:bottom w:val="nil"/>
              <w:right w:val="nil"/>
            </w:tcBorders>
          </w:tcPr>
          <w:p w14:paraId="555C1F53"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084" w:type="pct"/>
            <w:tcBorders>
              <w:top w:val="nil"/>
              <w:left w:val="nil"/>
              <w:bottom w:val="nil"/>
              <w:right w:val="nil"/>
            </w:tcBorders>
          </w:tcPr>
          <w:p w14:paraId="4A2A8D37"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Conferences</w:t>
            </w:r>
          </w:p>
        </w:tc>
        <w:tc>
          <w:tcPr>
            <w:tcW w:w="1576" w:type="pct"/>
            <w:tcBorders>
              <w:top w:val="nil"/>
              <w:left w:val="nil"/>
              <w:bottom w:val="nil"/>
              <w:right w:val="nil"/>
            </w:tcBorders>
          </w:tcPr>
          <w:p w14:paraId="5D785D8E" w14:textId="77777777" w:rsidR="006D7F34" w:rsidRPr="00D10A96" w:rsidRDefault="006D7F34" w:rsidP="00494032">
            <w:pPr>
              <w:autoSpaceDE w:val="0"/>
              <w:autoSpaceDN w:val="0"/>
              <w:adjustRightInd w:val="0"/>
              <w:rPr>
                <w:rFonts w:ascii="Arial" w:hAnsi="Arial" w:cs="Arial"/>
                <w:color w:val="000000"/>
                <w:sz w:val="20"/>
                <w:szCs w:val="20"/>
              </w:rPr>
            </w:pPr>
            <w:r w:rsidRPr="00D10A96">
              <w:rPr>
                <w:rFonts w:ascii="Arial" w:hAnsi="Arial" w:cs="Arial"/>
                <w:color w:val="000000"/>
                <w:sz w:val="20"/>
                <w:szCs w:val="20"/>
              </w:rPr>
              <w:t>Materially support diversity at scholarly meetings</w:t>
            </w:r>
          </w:p>
        </w:tc>
        <w:tc>
          <w:tcPr>
            <w:tcW w:w="1552" w:type="pct"/>
            <w:tcBorders>
              <w:top w:val="nil"/>
              <w:left w:val="nil"/>
              <w:bottom w:val="nil"/>
              <w:right w:val="nil"/>
            </w:tcBorders>
          </w:tcPr>
          <w:p w14:paraId="6DAA03F9" w14:textId="77777777" w:rsidR="006D7F34" w:rsidRPr="00D10A96" w:rsidRDefault="006D7F34" w:rsidP="00494032">
            <w:pPr>
              <w:autoSpaceDE w:val="0"/>
              <w:autoSpaceDN w:val="0"/>
              <w:adjustRightInd w:val="0"/>
              <w:rPr>
                <w:rFonts w:ascii="Arial" w:hAnsi="Arial" w:cs="Arial"/>
                <w:i/>
                <w:iCs/>
                <w:color w:val="000000"/>
                <w:sz w:val="20"/>
                <w:szCs w:val="20"/>
              </w:rPr>
            </w:pPr>
            <w:r w:rsidRPr="00D10A96">
              <w:rPr>
                <w:rFonts w:ascii="Arial" w:hAnsi="Arial" w:cs="Arial"/>
                <w:color w:val="000000"/>
                <w:sz w:val="20"/>
                <w:szCs w:val="20"/>
              </w:rPr>
              <w:t xml:space="preserve">Attend autistic REM sessions </w:t>
            </w:r>
            <w:r>
              <w:rPr>
                <w:rFonts w:ascii="Arial" w:hAnsi="Arial" w:cs="Arial"/>
                <w:color w:val="000000"/>
                <w:sz w:val="20"/>
                <w:szCs w:val="20"/>
              </w:rPr>
              <w:t>and</w:t>
            </w:r>
            <w:r w:rsidRPr="00D10A96">
              <w:rPr>
                <w:rFonts w:ascii="Arial" w:hAnsi="Arial" w:cs="Arial"/>
                <w:color w:val="000000"/>
                <w:sz w:val="20"/>
                <w:szCs w:val="20"/>
              </w:rPr>
              <w:t xml:space="preserve"> events </w:t>
            </w:r>
            <w:r w:rsidRPr="00D10A96">
              <w:rPr>
                <w:rFonts w:ascii="Arial" w:hAnsi="Arial" w:cs="Arial"/>
                <w:i/>
                <w:iCs/>
                <w:color w:val="000000"/>
                <w:sz w:val="20"/>
                <w:szCs w:val="20"/>
              </w:rPr>
              <w:t>as appropriate</w:t>
            </w:r>
          </w:p>
        </w:tc>
      </w:tr>
      <w:tr w:rsidR="006D7F34" w:rsidRPr="00D10A96" w14:paraId="0FCC28CE" w14:textId="77777777" w:rsidTr="00494032">
        <w:trPr>
          <w:trHeight w:val="270"/>
        </w:trPr>
        <w:tc>
          <w:tcPr>
            <w:tcW w:w="788" w:type="pct"/>
            <w:tcBorders>
              <w:top w:val="nil"/>
              <w:left w:val="nil"/>
              <w:bottom w:val="nil"/>
              <w:right w:val="nil"/>
            </w:tcBorders>
          </w:tcPr>
          <w:p w14:paraId="4E6E223F"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084" w:type="pct"/>
            <w:tcBorders>
              <w:top w:val="nil"/>
              <w:left w:val="nil"/>
              <w:bottom w:val="nil"/>
              <w:right w:val="nil"/>
            </w:tcBorders>
          </w:tcPr>
          <w:p w14:paraId="7224ACBE"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576" w:type="pct"/>
            <w:tcBorders>
              <w:top w:val="nil"/>
              <w:left w:val="nil"/>
              <w:bottom w:val="nil"/>
              <w:right w:val="nil"/>
            </w:tcBorders>
          </w:tcPr>
          <w:p w14:paraId="0403D769"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552" w:type="pct"/>
            <w:tcBorders>
              <w:top w:val="nil"/>
              <w:left w:val="nil"/>
              <w:bottom w:val="nil"/>
              <w:right w:val="nil"/>
            </w:tcBorders>
          </w:tcPr>
          <w:p w14:paraId="226B774A" w14:textId="77777777" w:rsidR="006D7F34" w:rsidRPr="00D10A96" w:rsidRDefault="006D7F34" w:rsidP="00494032">
            <w:pPr>
              <w:autoSpaceDE w:val="0"/>
              <w:autoSpaceDN w:val="0"/>
              <w:adjustRightInd w:val="0"/>
              <w:rPr>
                <w:rFonts w:ascii="Arial" w:hAnsi="Arial" w:cs="Arial"/>
                <w:i/>
                <w:iCs/>
                <w:color w:val="000000"/>
                <w:sz w:val="20"/>
                <w:szCs w:val="20"/>
              </w:rPr>
            </w:pPr>
            <w:r w:rsidRPr="00D10A96">
              <w:rPr>
                <w:rFonts w:ascii="Arial" w:hAnsi="Arial" w:cs="Arial"/>
                <w:color w:val="000000"/>
                <w:sz w:val="20"/>
                <w:szCs w:val="20"/>
              </w:rPr>
              <w:t xml:space="preserve">Plan to </w:t>
            </w:r>
            <w:r>
              <w:rPr>
                <w:rFonts w:ascii="Arial" w:hAnsi="Arial" w:cs="Arial"/>
                <w:color w:val="000000"/>
                <w:sz w:val="20"/>
                <w:szCs w:val="20"/>
              </w:rPr>
              <w:t>meet</w:t>
            </w:r>
            <w:r w:rsidRPr="00D10A96">
              <w:rPr>
                <w:rFonts w:ascii="Arial" w:hAnsi="Arial" w:cs="Arial"/>
                <w:color w:val="000000"/>
                <w:sz w:val="20"/>
                <w:szCs w:val="20"/>
              </w:rPr>
              <w:t xml:space="preserve"> with autistic REM </w:t>
            </w:r>
            <w:r>
              <w:rPr>
                <w:rFonts w:ascii="Arial" w:hAnsi="Arial" w:cs="Arial"/>
                <w:color w:val="000000"/>
                <w:sz w:val="20"/>
                <w:szCs w:val="20"/>
              </w:rPr>
              <w:t>and</w:t>
            </w:r>
            <w:r w:rsidRPr="00D10A96">
              <w:rPr>
                <w:rFonts w:ascii="Arial" w:hAnsi="Arial" w:cs="Arial"/>
                <w:i/>
                <w:iCs/>
                <w:color w:val="000000"/>
                <w:sz w:val="20"/>
                <w:szCs w:val="20"/>
              </w:rPr>
              <w:t xml:space="preserve"> follow up</w:t>
            </w:r>
          </w:p>
        </w:tc>
      </w:tr>
      <w:tr w:rsidR="006D7F34" w:rsidRPr="00D10A96" w14:paraId="16A619ED" w14:textId="77777777" w:rsidTr="00494032">
        <w:trPr>
          <w:trHeight w:val="495"/>
        </w:trPr>
        <w:tc>
          <w:tcPr>
            <w:tcW w:w="788" w:type="pct"/>
            <w:tcBorders>
              <w:top w:val="nil"/>
              <w:left w:val="nil"/>
              <w:bottom w:val="nil"/>
              <w:right w:val="nil"/>
            </w:tcBorders>
          </w:tcPr>
          <w:p w14:paraId="26460EED"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084" w:type="pct"/>
            <w:tcBorders>
              <w:top w:val="nil"/>
              <w:left w:val="nil"/>
              <w:bottom w:val="nil"/>
              <w:right w:val="nil"/>
            </w:tcBorders>
          </w:tcPr>
          <w:p w14:paraId="68B75464"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576" w:type="pct"/>
            <w:tcBorders>
              <w:top w:val="nil"/>
              <w:left w:val="nil"/>
              <w:bottom w:val="nil"/>
              <w:right w:val="nil"/>
            </w:tcBorders>
          </w:tcPr>
          <w:p w14:paraId="5C2D664E" w14:textId="77777777" w:rsidR="006D7F34" w:rsidRPr="00D10A96" w:rsidRDefault="006D7F34" w:rsidP="00494032">
            <w:pPr>
              <w:autoSpaceDE w:val="0"/>
              <w:autoSpaceDN w:val="0"/>
              <w:adjustRightInd w:val="0"/>
              <w:jc w:val="right"/>
              <w:rPr>
                <w:rFonts w:ascii="Arial" w:hAnsi="Arial" w:cs="Arial"/>
                <w:color w:val="000000"/>
                <w:sz w:val="20"/>
                <w:szCs w:val="20"/>
              </w:rPr>
            </w:pPr>
          </w:p>
        </w:tc>
        <w:tc>
          <w:tcPr>
            <w:tcW w:w="1552" w:type="pct"/>
            <w:tcBorders>
              <w:top w:val="nil"/>
              <w:left w:val="nil"/>
              <w:bottom w:val="nil"/>
              <w:right w:val="nil"/>
            </w:tcBorders>
          </w:tcPr>
          <w:p w14:paraId="54BAA057" w14:textId="77777777" w:rsidR="006D7F34" w:rsidRPr="00D10A96" w:rsidRDefault="006D7F34" w:rsidP="00494032">
            <w:pPr>
              <w:autoSpaceDE w:val="0"/>
              <w:autoSpaceDN w:val="0"/>
              <w:adjustRightInd w:val="0"/>
              <w:rPr>
                <w:rFonts w:ascii="Arial" w:hAnsi="Arial" w:cs="Arial"/>
                <w:i/>
                <w:iCs/>
                <w:color w:val="000000"/>
                <w:sz w:val="20"/>
                <w:szCs w:val="20"/>
              </w:rPr>
            </w:pPr>
            <w:r w:rsidRPr="00D10A96">
              <w:rPr>
                <w:rFonts w:ascii="Arial" w:hAnsi="Arial" w:cs="Arial"/>
                <w:color w:val="000000"/>
                <w:sz w:val="20"/>
                <w:szCs w:val="20"/>
              </w:rPr>
              <w:t xml:space="preserve">Suggest autistic REM as invited speakers or for leadership positions </w:t>
            </w:r>
            <w:r w:rsidRPr="00D10A96">
              <w:rPr>
                <w:rFonts w:ascii="Arial" w:hAnsi="Arial" w:cs="Arial"/>
                <w:i/>
                <w:iCs/>
                <w:color w:val="000000"/>
                <w:sz w:val="20"/>
                <w:szCs w:val="20"/>
              </w:rPr>
              <w:t>that align to their interests</w:t>
            </w:r>
          </w:p>
        </w:tc>
      </w:tr>
    </w:tbl>
    <w:p w14:paraId="406A65E2" w14:textId="77777777" w:rsidR="006D7F34" w:rsidRPr="001433A9" w:rsidRDefault="006D7F34" w:rsidP="00851E32">
      <w:pPr>
        <w:widowControl w:val="0"/>
        <w:spacing w:line="480" w:lineRule="auto"/>
        <w:rPr>
          <w:color w:val="000000" w:themeColor="text1"/>
        </w:rPr>
      </w:pPr>
    </w:p>
    <w:p w14:paraId="7D8F16DA" w14:textId="7BD3AC5A" w:rsidR="00951CA4" w:rsidRPr="001433A9" w:rsidRDefault="005C1BBE" w:rsidP="00851E32">
      <w:pPr>
        <w:widowControl w:val="0"/>
        <w:spacing w:line="480" w:lineRule="auto"/>
        <w:rPr>
          <w:b/>
          <w:bCs/>
          <w:color w:val="000000" w:themeColor="text1"/>
        </w:rPr>
      </w:pPr>
      <w:r w:rsidRPr="001433A9">
        <w:rPr>
          <w:color w:val="000000" w:themeColor="text1"/>
        </w:rPr>
        <w:tab/>
        <w:t xml:space="preserve">One </w:t>
      </w:r>
      <w:r w:rsidR="00A31A7B" w:rsidRPr="001433A9">
        <w:rPr>
          <w:color w:val="000000" w:themeColor="text1"/>
        </w:rPr>
        <w:t xml:space="preserve">domain in which individual researchers may act to mitigate systematic exclusion of autistic REM </w:t>
      </w:r>
      <w:r w:rsidR="00B83CD6" w:rsidRPr="001433A9">
        <w:rPr>
          <w:color w:val="000000" w:themeColor="text1"/>
        </w:rPr>
        <w:t>involves</w:t>
      </w:r>
      <w:r w:rsidR="00951CA4" w:rsidRPr="001433A9">
        <w:rPr>
          <w:color w:val="000000" w:themeColor="text1"/>
        </w:rPr>
        <w:t xml:space="preserve"> lab practices, methods, and dissemination. </w:t>
      </w:r>
      <w:r w:rsidR="005E1B6B" w:rsidRPr="001433A9">
        <w:rPr>
          <w:color w:val="000000" w:themeColor="text1"/>
        </w:rPr>
        <w:t>To</w:t>
      </w:r>
      <w:r w:rsidR="00951CA4" w:rsidRPr="001433A9">
        <w:rPr>
          <w:color w:val="000000" w:themeColor="text1"/>
        </w:rPr>
        <w:t xml:space="preserve"> center diversity in research, lab directors and lab members can adopt approaches that recognize the power hierarchies underlying the development and interpretation of research</w:t>
      </w:r>
      <w:r w:rsidR="00B83CD6" w:rsidRPr="001433A9">
        <w:rPr>
          <w:color w:val="000000" w:themeColor="text1"/>
        </w:rPr>
        <w:t>,</w:t>
      </w:r>
      <w:r w:rsidR="002A1C03" w:rsidRPr="001433A9">
        <w:rPr>
          <w:color w:val="000000" w:themeColor="text1"/>
        </w:rPr>
        <w:t xml:space="preserve"> a</w:t>
      </w:r>
      <w:r w:rsidR="00ED5F46" w:rsidRPr="001433A9">
        <w:rPr>
          <w:color w:val="000000" w:themeColor="text1"/>
        </w:rPr>
        <w:t>s well as</w:t>
      </w:r>
      <w:r w:rsidR="002A1C03" w:rsidRPr="001433A9">
        <w:rPr>
          <w:color w:val="000000" w:themeColor="text1"/>
        </w:rPr>
        <w:t xml:space="preserve"> be transparent about the approaches they do or do not adopt</w:t>
      </w:r>
      <w:r w:rsidR="00481287" w:rsidRPr="001433A9">
        <w:rPr>
          <w:color w:val="000000" w:themeColor="text1"/>
        </w:rPr>
        <w:t xml:space="preserve"> (Wilton et al., 2020)</w:t>
      </w:r>
      <w:r w:rsidR="00951CA4" w:rsidRPr="001433A9">
        <w:rPr>
          <w:color w:val="000000" w:themeColor="text1"/>
        </w:rPr>
        <w:t xml:space="preserve">. In the case of autistic REM, framing lab projects and </w:t>
      </w:r>
      <w:r w:rsidR="007969EF" w:rsidRPr="001433A9">
        <w:rPr>
          <w:color w:val="000000" w:themeColor="text1"/>
        </w:rPr>
        <w:t>the</w:t>
      </w:r>
      <w:r w:rsidR="00951CA4" w:rsidRPr="001433A9">
        <w:rPr>
          <w:color w:val="000000" w:themeColor="text1"/>
        </w:rPr>
        <w:t xml:space="preserve"> research literature </w:t>
      </w:r>
      <w:r w:rsidR="00951CA4" w:rsidRPr="001433A9">
        <w:rPr>
          <w:i/>
          <w:iCs/>
          <w:color w:val="000000" w:themeColor="text1"/>
        </w:rPr>
        <w:t xml:space="preserve">through </w:t>
      </w:r>
      <w:r w:rsidR="005E1B6B" w:rsidRPr="001433A9">
        <w:rPr>
          <w:color w:val="000000" w:themeColor="text1"/>
        </w:rPr>
        <w:t>DisCrit</w:t>
      </w:r>
      <w:r w:rsidR="00173690" w:rsidRPr="001433A9">
        <w:rPr>
          <w:b/>
          <w:bCs/>
          <w:color w:val="000000" w:themeColor="text1"/>
        </w:rPr>
        <w:t xml:space="preserve"> </w:t>
      </w:r>
      <w:r w:rsidR="005E1B6B" w:rsidRPr="001433A9">
        <w:rPr>
          <w:color w:val="000000" w:themeColor="text1"/>
        </w:rPr>
        <w:t>(Annamma et al., 2013)</w:t>
      </w:r>
      <w:r w:rsidR="00951CA4" w:rsidRPr="001433A9">
        <w:rPr>
          <w:color w:val="000000" w:themeColor="text1"/>
        </w:rPr>
        <w:t xml:space="preserve"> is important</w:t>
      </w:r>
      <w:r w:rsidR="00535FA3" w:rsidRPr="001433A9">
        <w:rPr>
          <w:color w:val="000000" w:themeColor="text1"/>
        </w:rPr>
        <w:t xml:space="preserve"> in both scholarly dialogue and research dissemination</w:t>
      </w:r>
      <w:r w:rsidR="00951CA4" w:rsidRPr="001433A9">
        <w:rPr>
          <w:color w:val="000000" w:themeColor="text1"/>
        </w:rPr>
        <w:t xml:space="preserve">. </w:t>
      </w:r>
      <w:r w:rsidR="007C0D9E" w:rsidRPr="001433A9">
        <w:rPr>
          <w:color w:val="000000" w:themeColor="text1"/>
        </w:rPr>
        <w:t>T</w:t>
      </w:r>
      <w:r w:rsidR="00951CA4" w:rsidRPr="001433A9">
        <w:rPr>
          <w:color w:val="000000" w:themeColor="text1"/>
        </w:rPr>
        <w:t>h</w:t>
      </w:r>
      <w:r w:rsidR="00DA7FEA" w:rsidRPr="001433A9">
        <w:rPr>
          <w:color w:val="000000" w:themeColor="text1"/>
        </w:rPr>
        <w:t xml:space="preserve">is </w:t>
      </w:r>
      <w:r w:rsidR="007C0D9E" w:rsidRPr="001433A9">
        <w:rPr>
          <w:color w:val="000000" w:themeColor="text1"/>
        </w:rPr>
        <w:t>framework</w:t>
      </w:r>
      <w:r w:rsidR="00DA7FEA" w:rsidRPr="001433A9">
        <w:rPr>
          <w:color w:val="000000" w:themeColor="text1"/>
        </w:rPr>
        <w:t xml:space="preserve"> </w:t>
      </w:r>
      <w:r w:rsidR="00951CA4" w:rsidRPr="001433A9">
        <w:rPr>
          <w:color w:val="000000" w:themeColor="text1"/>
        </w:rPr>
        <w:t xml:space="preserve">may help end practices that hinder diversity, such as exclusion of autistic individuals with intellectual dis/ability from research, failing to count such exclusion as a limitation to generalizability, and </w:t>
      </w:r>
      <w:r w:rsidR="009650A1" w:rsidRPr="001433A9">
        <w:rPr>
          <w:color w:val="000000" w:themeColor="text1"/>
        </w:rPr>
        <w:t xml:space="preserve">failing to account for this limitation in </w:t>
      </w:r>
      <w:r w:rsidR="00951CA4" w:rsidRPr="001433A9">
        <w:rPr>
          <w:color w:val="000000" w:themeColor="text1"/>
        </w:rPr>
        <w:t xml:space="preserve">citing </w:t>
      </w:r>
      <w:r w:rsidR="009650A1" w:rsidRPr="001433A9">
        <w:rPr>
          <w:color w:val="000000" w:themeColor="text1"/>
        </w:rPr>
        <w:t>the original studies</w:t>
      </w:r>
      <w:r w:rsidR="00951CA4" w:rsidRPr="001433A9">
        <w:rPr>
          <w:color w:val="000000" w:themeColor="text1"/>
        </w:rPr>
        <w:t xml:space="preserve"> (Russell et al., 2019). In addition, researchers may strive to build trust and rapport with autistic REM</w:t>
      </w:r>
      <w:r w:rsidR="00D23000" w:rsidRPr="001433A9">
        <w:rPr>
          <w:color w:val="000000" w:themeColor="text1"/>
        </w:rPr>
        <w:t>; this may involve</w:t>
      </w:r>
      <w:r w:rsidR="002A1C03" w:rsidRPr="001433A9">
        <w:rPr>
          <w:color w:val="000000" w:themeColor="text1"/>
        </w:rPr>
        <w:t xml:space="preserve"> </w:t>
      </w:r>
      <w:r w:rsidR="00D23000" w:rsidRPr="001433A9">
        <w:rPr>
          <w:color w:val="000000" w:themeColor="text1"/>
        </w:rPr>
        <w:t>working to remove systemic barriers that advance autistic REM as</w:t>
      </w:r>
      <w:r w:rsidR="00535FA3" w:rsidRPr="001433A9">
        <w:rPr>
          <w:color w:val="000000" w:themeColor="text1"/>
        </w:rPr>
        <w:t xml:space="preserve"> </w:t>
      </w:r>
      <w:r w:rsidR="00D23000" w:rsidRPr="001433A9">
        <w:rPr>
          <w:color w:val="000000" w:themeColor="text1"/>
        </w:rPr>
        <w:t xml:space="preserve">leaders in research. Similarly, researchers may develop tailored research practices appropriate for autistic REM. </w:t>
      </w:r>
      <w:r w:rsidR="00535FA3" w:rsidRPr="001433A9">
        <w:rPr>
          <w:color w:val="000000" w:themeColor="text1"/>
        </w:rPr>
        <w:t>In the case of Black autistic REM, referencing prior literature is necessary yet insufficient. Given that Black autistic REM are heterogeneous in their backgrounds, perspectives, and identities, “best practices” for a given community in terms of research development, recruitment, data collection, and follow-up</w:t>
      </w:r>
      <w:r w:rsidR="00481287" w:rsidRPr="001433A9">
        <w:rPr>
          <w:color w:val="000000" w:themeColor="text1"/>
        </w:rPr>
        <w:t xml:space="preserve"> must be developed in true partnership</w:t>
      </w:r>
      <w:r w:rsidR="00535FA3" w:rsidRPr="001433A9">
        <w:rPr>
          <w:color w:val="000000" w:themeColor="text1"/>
        </w:rPr>
        <w:t>.</w:t>
      </w:r>
      <w:r w:rsidR="009F52CD" w:rsidRPr="001433A9">
        <w:rPr>
          <w:color w:val="000000" w:themeColor="text1"/>
        </w:rPr>
        <w:t xml:space="preserve"> Other “best practices” include deliberate selection of statistical methods, such as conducting intersectional analyses when sample size is sufficient (and testing </w:t>
      </w:r>
      <w:r w:rsidR="009F52CD" w:rsidRPr="001433A9">
        <w:rPr>
          <w:color w:val="000000" w:themeColor="text1"/>
        </w:rPr>
        <w:lastRenderedPageBreak/>
        <w:t>for every intersection</w:t>
      </w:r>
      <w:r w:rsidR="00C57099" w:rsidRPr="001433A9">
        <w:rPr>
          <w:color w:val="000000" w:themeColor="text1"/>
        </w:rPr>
        <w:t xml:space="preserve"> versus assuming an effect is uniform for an entire sample)</w:t>
      </w:r>
      <w:r w:rsidR="009F52CD" w:rsidRPr="001433A9">
        <w:rPr>
          <w:color w:val="000000" w:themeColor="text1"/>
        </w:rPr>
        <w:t xml:space="preserve"> </w:t>
      </w:r>
      <w:r w:rsidR="009F52CD" w:rsidRPr="001433A9">
        <w:rPr>
          <w:color w:val="000000" w:themeColor="text1"/>
        </w:rPr>
        <w:fldChar w:fldCharType="begin"/>
      </w:r>
      <w:r w:rsidR="009F52CD" w:rsidRPr="001433A9">
        <w:rPr>
          <w:color w:val="000000" w:themeColor="text1"/>
        </w:rPr>
        <w:instrText xml:space="preserve"> ADDIN EN.CITE &lt;EndNote&gt;&lt;Cite&gt;&lt;Author&gt;Bauer&lt;/Author&gt;&lt;Year&gt;2021&lt;/Year&gt;&lt;RecNum&gt;944&lt;/RecNum&gt;&lt;DisplayText&gt;(Bauer et al., 2021)&lt;/DisplayText&gt;&lt;record&gt;&lt;rec-number&gt;944&lt;/rec-number&gt;&lt;foreign-keys&gt;&lt;key app="EN" db-id="z5esdwstqravs7ett01vvr0xfser2p2s9ats" timestamp="1675966083"&gt;944&lt;/key&gt;&lt;/foreign-keys&gt;&lt;ref-type name="Journal Article"&gt;17&lt;/ref-type&gt;&lt;contributors&gt;&lt;authors&gt;&lt;author&gt;Bauer, Greta R&lt;/author&gt;&lt;author&gt;Churchill, Siobhan M&lt;/author&gt;&lt;author&gt;Mahendran, Mayuri&lt;/author&gt;&lt;author&gt;Walwyn, Chantel&lt;/author&gt;&lt;author&gt;Lizotte, Daniel&lt;/author&gt;&lt;author&gt;Villa-Rueda, Alma Angelica&lt;/author&gt;&lt;/authors&gt;&lt;/contributors&gt;&lt;titles&gt;&lt;title&gt;Intersectionality in quantitative research: A systematic review of its emergence and applications of theory and methods&lt;/title&gt;&lt;secondary-title&gt;SSM - Population Health,&lt;/secondary-title&gt;&lt;/titles&gt;&lt;periodical&gt;&lt;full-title&gt;SSM - Population Health,&lt;/full-title&gt;&lt;/periodical&gt;&lt;pages&gt;100798&lt;/pages&gt;&lt;volume&gt;14&lt;/volume&gt;&lt;dates&gt;&lt;year&gt;2021&lt;/year&gt;&lt;/dates&gt;&lt;isbn&gt;2352-8273&lt;/isbn&gt;&lt;urls&gt;&lt;/urls&gt;&lt;electronic-resource-num&gt;10.1016/j.ssmph.2021.100798&lt;/electronic-resource-num&gt;&lt;/record&gt;&lt;/Cite&gt;&lt;/EndNote&gt;</w:instrText>
      </w:r>
      <w:r w:rsidR="009F52CD" w:rsidRPr="001433A9">
        <w:rPr>
          <w:color w:val="000000" w:themeColor="text1"/>
        </w:rPr>
        <w:fldChar w:fldCharType="separate"/>
      </w:r>
      <w:r w:rsidR="009F52CD" w:rsidRPr="001433A9">
        <w:rPr>
          <w:noProof/>
          <w:color w:val="000000" w:themeColor="text1"/>
        </w:rPr>
        <w:t>(Bauer et al., 2021)</w:t>
      </w:r>
      <w:r w:rsidR="009F52CD" w:rsidRPr="001433A9">
        <w:rPr>
          <w:color w:val="000000" w:themeColor="text1"/>
        </w:rPr>
        <w:fldChar w:fldCharType="end"/>
      </w:r>
      <w:r w:rsidR="009F52CD" w:rsidRPr="001433A9">
        <w:rPr>
          <w:color w:val="000000" w:themeColor="text1"/>
        </w:rPr>
        <w:t xml:space="preserve">, as well as selecting analyses appropriate for smaller, heterogeneous samples (e.g., Bayesian approaches) </w:t>
      </w:r>
      <w:r w:rsidR="00CE2733" w:rsidRPr="001433A9">
        <w:rPr>
          <w:color w:val="000000" w:themeColor="text1"/>
        </w:rPr>
        <w:fldChar w:fldCharType="begin"/>
      </w:r>
      <w:r w:rsidR="00CE2733" w:rsidRPr="001433A9">
        <w:rPr>
          <w:color w:val="000000" w:themeColor="text1"/>
        </w:rPr>
        <w:instrText xml:space="preserve"> ADDIN EN.CITE &lt;EndNote&gt;&lt;Cite&gt;&lt;Author&gt;Oleson&lt;/Author&gt;&lt;Year&gt;2019&lt;/Year&gt;&lt;RecNum&gt;996&lt;/RecNum&gt;&lt;DisplayText&gt;(Oleson et al., 2019)&lt;/DisplayText&gt;&lt;record&gt;&lt;rec-number&gt;996&lt;/rec-number&gt;&lt;foreign-keys&gt;&lt;key app="EN" db-id="z5esdwstqravs7ett01vvr0xfser2p2s9ats" timestamp="1676420017"&gt;996&lt;/key&gt;&lt;/foreign-keys&gt;&lt;ref-type name="Journal Article"&gt;17&lt;/ref-type&gt;&lt;contributors&gt;&lt;authors&gt;&lt;author&gt;Oleson, Jacob J&lt;/author&gt;&lt;author&gt;Brown, Grant D&lt;/author&gt;&lt;author&gt;McCreery, Ryan&lt;/author&gt;&lt;/authors&gt;&lt;/contributors&gt;&lt;titles&gt;&lt;title&gt;The evolution of statistical methods in speech, language, and hearing sciences&lt;/title&gt;&lt;secondary-title&gt;Journal of Speech, Language, and Hearing Research&lt;/secondary-title&gt;&lt;/titles&gt;&lt;periodical&gt;&lt;full-title&gt;Journal of Speech, Language, and Hearing Research&lt;/full-title&gt;&lt;/periodical&gt;&lt;pages&gt;498-506&lt;/pages&gt;&lt;volume&gt;62&lt;/volume&gt;&lt;number&gt;3&lt;/number&gt;&lt;dates&gt;&lt;year&gt;2019&lt;/year&gt;&lt;/dates&gt;&lt;isbn&gt;1558-9102&lt;/isbn&gt;&lt;urls&gt;&lt;/urls&gt;&lt;electronic-resource-num&gt;10.1044/2018_JSLHR-H-ASTM-18-0378&lt;/electronic-resource-num&gt;&lt;/record&gt;&lt;/Cite&gt;&lt;/EndNote&gt;</w:instrText>
      </w:r>
      <w:r w:rsidR="00CE2733" w:rsidRPr="001433A9">
        <w:rPr>
          <w:color w:val="000000" w:themeColor="text1"/>
        </w:rPr>
        <w:fldChar w:fldCharType="separate"/>
      </w:r>
      <w:r w:rsidR="00CE2733" w:rsidRPr="001433A9">
        <w:rPr>
          <w:noProof/>
          <w:color w:val="000000" w:themeColor="text1"/>
        </w:rPr>
        <w:t>(Oleson et al., 2019)</w:t>
      </w:r>
      <w:r w:rsidR="00CE2733" w:rsidRPr="001433A9">
        <w:rPr>
          <w:color w:val="000000" w:themeColor="text1"/>
        </w:rPr>
        <w:fldChar w:fldCharType="end"/>
      </w:r>
      <w:r w:rsidR="00CE2733" w:rsidRPr="001433A9">
        <w:rPr>
          <w:color w:val="000000" w:themeColor="text1"/>
        </w:rPr>
        <w:t>.</w:t>
      </w:r>
    </w:p>
    <w:p w14:paraId="404D6B9E" w14:textId="77777777" w:rsidR="00A55E40" w:rsidRPr="001433A9" w:rsidRDefault="00535FA3" w:rsidP="00851E32">
      <w:pPr>
        <w:widowControl w:val="0"/>
        <w:spacing w:line="480" w:lineRule="auto"/>
        <w:rPr>
          <w:color w:val="000000" w:themeColor="text1"/>
        </w:rPr>
      </w:pPr>
      <w:r w:rsidRPr="001433A9">
        <w:rPr>
          <w:b/>
          <w:bCs/>
          <w:color w:val="000000" w:themeColor="text1"/>
        </w:rPr>
        <w:tab/>
      </w:r>
      <w:r w:rsidRPr="001433A9">
        <w:rPr>
          <w:color w:val="000000" w:themeColor="text1"/>
        </w:rPr>
        <w:t>A second domain for individual action is teaching and mentorship. In the training</w:t>
      </w:r>
    </w:p>
    <w:p w14:paraId="1080CF30" w14:textId="143B5E91" w:rsidR="0072473D" w:rsidRPr="001433A9" w:rsidRDefault="00535FA3" w:rsidP="00851E32">
      <w:pPr>
        <w:widowControl w:val="0"/>
        <w:spacing w:line="480" w:lineRule="auto"/>
        <w:rPr>
          <w:color w:val="000000" w:themeColor="text1"/>
        </w:rPr>
      </w:pPr>
      <w:r w:rsidRPr="001433A9">
        <w:rPr>
          <w:color w:val="000000" w:themeColor="text1"/>
        </w:rPr>
        <w:t xml:space="preserve">environment, which might include the classroom, lab, </w:t>
      </w:r>
      <w:r w:rsidR="00F81962" w:rsidRPr="001433A9">
        <w:rPr>
          <w:color w:val="000000" w:themeColor="text1"/>
        </w:rPr>
        <w:t xml:space="preserve">and </w:t>
      </w:r>
      <w:r w:rsidRPr="001433A9">
        <w:rPr>
          <w:color w:val="000000" w:themeColor="text1"/>
        </w:rPr>
        <w:t xml:space="preserve">community, researchers should </w:t>
      </w:r>
      <w:r w:rsidRPr="001433A9">
        <w:rPr>
          <w:i/>
          <w:iCs/>
          <w:color w:val="000000" w:themeColor="text1"/>
        </w:rPr>
        <w:t xml:space="preserve">proactively </w:t>
      </w:r>
      <w:r w:rsidRPr="001433A9">
        <w:rPr>
          <w:color w:val="000000" w:themeColor="text1"/>
        </w:rPr>
        <w:t xml:space="preserve">provide accessible training. </w:t>
      </w:r>
      <w:r w:rsidR="00F81962" w:rsidRPr="001433A9">
        <w:rPr>
          <w:color w:val="000000" w:themeColor="text1"/>
        </w:rPr>
        <w:t>D</w:t>
      </w:r>
      <w:r w:rsidR="008A1E8E" w:rsidRPr="001433A9">
        <w:rPr>
          <w:color w:val="000000" w:themeColor="text1"/>
        </w:rPr>
        <w:t xml:space="preserve">isclosure should not be a prerequisite </w:t>
      </w:r>
      <w:r w:rsidR="0072473D" w:rsidRPr="001433A9">
        <w:rPr>
          <w:color w:val="000000" w:themeColor="text1"/>
        </w:rPr>
        <w:t>to accessible training.</w:t>
      </w:r>
      <w:r w:rsidRPr="001433A9">
        <w:rPr>
          <w:color w:val="000000" w:themeColor="text1"/>
        </w:rPr>
        <w:t xml:space="preserve"> Therefore, </w:t>
      </w:r>
      <w:r w:rsidR="0072473D" w:rsidRPr="001433A9">
        <w:rPr>
          <w:color w:val="000000" w:themeColor="text1"/>
        </w:rPr>
        <w:t xml:space="preserve">researchers can make the hidden curricula of research </w:t>
      </w:r>
      <w:r w:rsidR="00F81962" w:rsidRPr="001433A9">
        <w:rPr>
          <w:color w:val="000000" w:themeColor="text1"/>
        </w:rPr>
        <w:t>and academia</w:t>
      </w:r>
      <w:r w:rsidR="0072473D" w:rsidRPr="001433A9">
        <w:rPr>
          <w:color w:val="000000" w:themeColor="text1"/>
        </w:rPr>
        <w:t xml:space="preserve"> transparent by </w:t>
      </w:r>
      <w:r w:rsidR="00192307" w:rsidRPr="001433A9">
        <w:rPr>
          <w:color w:val="000000" w:themeColor="text1"/>
        </w:rPr>
        <w:t>explicitly</w:t>
      </w:r>
      <w:r w:rsidR="0072473D" w:rsidRPr="001433A9">
        <w:rPr>
          <w:color w:val="000000" w:themeColor="text1"/>
        </w:rPr>
        <w:t xml:space="preserve"> discussing and explaining various aspects of academia (e.g., how to develop a research project) and learning about best practices for autistic REM through the Scholarship of Teaching and Learning. </w:t>
      </w:r>
      <w:r w:rsidR="001524A2" w:rsidRPr="001433A9">
        <w:rPr>
          <w:color w:val="000000" w:themeColor="text1"/>
        </w:rPr>
        <w:t xml:space="preserve">To ensure evidence-based practices are appropriate for autistic REM, researchers can make use of existing resources like the Cultural Adaptation Checklist </w:t>
      </w:r>
      <w:r w:rsidR="001524A2" w:rsidRPr="001433A9">
        <w:rPr>
          <w:color w:val="000000" w:themeColor="text1"/>
        </w:rPr>
        <w:fldChar w:fldCharType="begin"/>
      </w:r>
      <w:r w:rsidR="001524A2" w:rsidRPr="001433A9">
        <w:rPr>
          <w:color w:val="000000" w:themeColor="text1"/>
        </w:rPr>
        <w:instrText xml:space="preserve"> ADDIN EN.CITE &lt;EndNote&gt;&lt;Cite&gt;&lt;Author&gt;Lee&lt;/Author&gt;&lt;Year&gt;n.d.&lt;/Year&gt;&lt;RecNum&gt;997&lt;/RecNum&gt;&lt;DisplayText&gt;(Lee et al., n.d.)&lt;/DisplayText&gt;&lt;record&gt;&lt;rec-number&gt;997&lt;/rec-number&gt;&lt;foreign-keys&gt;&lt;key app="EN" db-id="z5esdwstqravs7ett01vvr0xfser2p2s9ats" timestamp="1676420622"&gt;997&lt;/key&gt;&lt;/foreign-keys&gt;&lt;ref-type name="Journal Article"&gt;17&lt;/ref-type&gt;&lt;contributors&gt;&lt;authors&gt;&lt;author&gt;Lee, James&lt;/author&gt;&lt;author&gt;Meadan-Kaplansky, Hedda&lt;/author&gt;&lt;author&gt;Sands, Michelle&lt;/author&gt;&lt;author&gt;Terol, Adriana Kaori&lt;/author&gt;&lt;author&gt;Martin, Melanie R&lt;/author&gt;&lt;author&gt;Yoon, Christy&lt;/author&gt;&lt;/authors&gt;&lt;/contributors&gt;&lt;titles&gt;&lt;title&gt;The Cultural Adaptation Checklist (CAC): Quality indicators for cultural adaptation of intervention and practice&lt;/title&gt;&lt;/titles&gt;&lt;dates&gt;&lt;year&gt;n.d.&lt;/year&gt;&lt;/dates&gt;&lt;urls&gt;&lt;/urls&gt;&lt;electronic-resource-num&gt;10.31219/osf.io/r592m&lt;/electronic-resource-num&gt;&lt;/record&gt;&lt;/Cite&gt;&lt;/EndNote&gt;</w:instrText>
      </w:r>
      <w:r w:rsidR="001524A2" w:rsidRPr="001433A9">
        <w:rPr>
          <w:color w:val="000000" w:themeColor="text1"/>
        </w:rPr>
        <w:fldChar w:fldCharType="separate"/>
      </w:r>
      <w:r w:rsidR="001524A2" w:rsidRPr="001433A9">
        <w:rPr>
          <w:noProof/>
          <w:color w:val="000000" w:themeColor="text1"/>
        </w:rPr>
        <w:t>(Lee et al., n.d.)</w:t>
      </w:r>
      <w:r w:rsidR="001524A2" w:rsidRPr="001433A9">
        <w:rPr>
          <w:color w:val="000000" w:themeColor="text1"/>
        </w:rPr>
        <w:fldChar w:fldCharType="end"/>
      </w:r>
      <w:r w:rsidR="001524A2" w:rsidRPr="001433A9">
        <w:rPr>
          <w:color w:val="000000" w:themeColor="text1"/>
        </w:rPr>
        <w:t xml:space="preserve"> and </w:t>
      </w:r>
      <w:r w:rsidR="003755D3" w:rsidRPr="001433A9">
        <w:rPr>
          <w:color w:val="000000" w:themeColor="text1"/>
        </w:rPr>
        <w:t xml:space="preserve">look to </w:t>
      </w:r>
      <w:r w:rsidR="00744288" w:rsidRPr="001433A9">
        <w:rPr>
          <w:color w:val="000000" w:themeColor="text1"/>
        </w:rPr>
        <w:t xml:space="preserve">prior </w:t>
      </w:r>
      <w:r w:rsidR="003755D3" w:rsidRPr="001433A9">
        <w:rPr>
          <w:color w:val="000000" w:themeColor="text1"/>
        </w:rPr>
        <w:t>examples of race- and dis/ability-conscious practices</w:t>
      </w:r>
      <w:r w:rsidR="001E35E4" w:rsidRPr="001433A9">
        <w:rPr>
          <w:color w:val="000000" w:themeColor="text1"/>
        </w:rPr>
        <w:t xml:space="preserve"> </w:t>
      </w:r>
      <w:r w:rsidR="003755D3" w:rsidRPr="001433A9">
        <w:rPr>
          <w:color w:val="000000" w:themeColor="text1"/>
        </w:rPr>
        <w:fldChar w:fldCharType="begin"/>
      </w:r>
      <w:r w:rsidR="003755D3" w:rsidRPr="001433A9">
        <w:rPr>
          <w:color w:val="000000" w:themeColor="text1"/>
        </w:rPr>
        <w:instrText xml:space="preserve"> ADDIN EN.CITE &lt;EndNote&gt;&lt;Cite&gt;&lt;Author&gt;Catrone&lt;/Author&gt;&lt;Year&gt;2022&lt;/Year&gt;&lt;RecNum&gt;998&lt;/RecNum&gt;&lt;DisplayText&gt;(Catrone et al., 2022)&lt;/DisplayText&gt;&lt;record&gt;&lt;rec-number&gt;998&lt;/rec-number&gt;&lt;foreign-keys&gt;&lt;key app="EN" db-id="z5esdwstqravs7ett01vvr0xfser2p2s9ats" timestamp="1676420824"&gt;998&lt;/key&gt;&lt;/foreign-keys&gt;&lt;ref-type name="Journal Article"&gt;17&lt;/ref-type&gt;&lt;contributors&gt;&lt;authors&gt;&lt;author&gt;Catrone, Rocco Giovanni&lt;/author&gt;&lt;author&gt;Baires, Natalia A&lt;/author&gt;&lt;author&gt;Martin, Melanie R&lt;/author&gt;&lt;author&gt;Brown-Hollie, Jasmine P&lt;/author&gt;&lt;/authors&gt;&lt;/contributors&gt;&lt;titles&gt;&lt;title&gt;An intersectional examination of disability and race models in behavior-analytic practice&lt;/title&gt;&lt;secondary-title&gt;Behavior and Social Issues&lt;/secondary-title&gt;&lt;/titles&gt;&lt;periodical&gt;&lt;full-title&gt;Behavior and Social Issues&lt;/full-title&gt;&lt;/periodical&gt;&lt;pages&gt;1-30&lt;/pages&gt;&lt;dates&gt;&lt;year&gt;2022&lt;/year&gt;&lt;/dates&gt;&lt;isbn&gt;1064-9506&lt;/isbn&gt;&lt;urls&gt;&lt;/urls&gt;&lt;electronic-resource-num&gt;10.1007/s42822-022-00116-z&lt;/electronic-resource-num&gt;&lt;/record&gt;&lt;/Cite&gt;&lt;/EndNote&gt;</w:instrText>
      </w:r>
      <w:r w:rsidR="003755D3" w:rsidRPr="001433A9">
        <w:rPr>
          <w:color w:val="000000" w:themeColor="text1"/>
        </w:rPr>
        <w:fldChar w:fldCharType="separate"/>
      </w:r>
      <w:r w:rsidR="003755D3" w:rsidRPr="001433A9">
        <w:rPr>
          <w:noProof/>
          <w:color w:val="000000" w:themeColor="text1"/>
        </w:rPr>
        <w:t>(Catrone et al., 2022)</w:t>
      </w:r>
      <w:r w:rsidR="003755D3" w:rsidRPr="001433A9">
        <w:rPr>
          <w:color w:val="000000" w:themeColor="text1"/>
        </w:rPr>
        <w:fldChar w:fldCharType="end"/>
      </w:r>
      <w:r w:rsidR="001E35E4" w:rsidRPr="001433A9">
        <w:rPr>
          <w:color w:val="000000" w:themeColor="text1"/>
        </w:rPr>
        <w:t>.</w:t>
      </w:r>
      <w:r w:rsidR="001524A2" w:rsidRPr="001433A9">
        <w:rPr>
          <w:color w:val="000000" w:themeColor="text1"/>
        </w:rPr>
        <w:t xml:space="preserve"> </w:t>
      </w:r>
      <w:r w:rsidR="001E35E4" w:rsidRPr="001433A9">
        <w:rPr>
          <w:color w:val="000000" w:themeColor="text1"/>
        </w:rPr>
        <w:t>A</w:t>
      </w:r>
      <w:r w:rsidR="001524A2" w:rsidRPr="001433A9">
        <w:rPr>
          <w:color w:val="000000" w:themeColor="text1"/>
        </w:rPr>
        <w:t xml:space="preserve">t the same time, we </w:t>
      </w:r>
      <w:r w:rsidR="00744288" w:rsidRPr="001433A9">
        <w:rPr>
          <w:color w:val="000000" w:themeColor="text1"/>
        </w:rPr>
        <w:t>recognize</w:t>
      </w:r>
      <w:r w:rsidR="001524A2" w:rsidRPr="001433A9">
        <w:rPr>
          <w:color w:val="000000" w:themeColor="text1"/>
        </w:rPr>
        <w:t xml:space="preserve"> that simply adapting </w:t>
      </w:r>
      <w:r w:rsidR="008D1DA1" w:rsidRPr="001433A9">
        <w:rPr>
          <w:color w:val="000000" w:themeColor="text1"/>
        </w:rPr>
        <w:t>practices</w:t>
      </w:r>
      <w:r w:rsidR="001524A2" w:rsidRPr="001433A9">
        <w:rPr>
          <w:color w:val="000000" w:themeColor="text1"/>
        </w:rPr>
        <w:t xml:space="preserve"> </w:t>
      </w:r>
      <w:r w:rsidR="001524A2" w:rsidRPr="001433A9">
        <w:rPr>
          <w:i/>
          <w:iCs/>
          <w:color w:val="000000" w:themeColor="text1"/>
        </w:rPr>
        <w:t xml:space="preserve">for </w:t>
      </w:r>
      <w:r w:rsidR="001524A2" w:rsidRPr="001433A9">
        <w:rPr>
          <w:color w:val="000000" w:themeColor="text1"/>
        </w:rPr>
        <w:t xml:space="preserve">autistic REM versus creating </w:t>
      </w:r>
      <w:r w:rsidR="00381ED3" w:rsidRPr="001433A9">
        <w:rPr>
          <w:color w:val="000000" w:themeColor="text1"/>
        </w:rPr>
        <w:t>practices</w:t>
      </w:r>
      <w:r w:rsidR="001524A2" w:rsidRPr="001433A9">
        <w:rPr>
          <w:color w:val="000000" w:themeColor="text1"/>
        </w:rPr>
        <w:t xml:space="preserve"> with them in mind from the start is insufficient</w:t>
      </w:r>
      <w:r w:rsidR="00D3401E" w:rsidRPr="001433A9">
        <w:rPr>
          <w:color w:val="000000" w:themeColor="text1"/>
        </w:rPr>
        <w:t xml:space="preserve"> in the long term</w:t>
      </w:r>
      <w:r w:rsidR="001524A2" w:rsidRPr="001433A9">
        <w:rPr>
          <w:color w:val="000000" w:themeColor="text1"/>
        </w:rPr>
        <w:t xml:space="preserve">. </w:t>
      </w:r>
      <w:r w:rsidR="0072473D" w:rsidRPr="001433A9">
        <w:rPr>
          <w:color w:val="000000" w:themeColor="text1"/>
        </w:rPr>
        <w:t xml:space="preserve">To advance autistic REM as critical voices </w:t>
      </w:r>
      <w:r w:rsidR="00F81962" w:rsidRPr="001433A9">
        <w:rPr>
          <w:color w:val="000000" w:themeColor="text1"/>
        </w:rPr>
        <w:t>in</w:t>
      </w:r>
      <w:r w:rsidR="0072473D" w:rsidRPr="001433A9">
        <w:rPr>
          <w:color w:val="000000" w:themeColor="text1"/>
        </w:rPr>
        <w:t xml:space="preserve"> training and mentorship, researchers can take time to learn about the goals of autistic REM and invite them to provide education, whether an invited talk, workshops, or some other resource, on their terms (e.g., with appropriate compensation in their preferred modality). Still further, researchers can also purposefully mentor autistic REM. Though autistic REM may elect to not publicly disclose, volunteering as a mentor with programs</w:t>
      </w:r>
      <w:r w:rsidR="00173690" w:rsidRPr="001433A9">
        <w:rPr>
          <w:color w:val="000000" w:themeColor="text1"/>
        </w:rPr>
        <w:t xml:space="preserve"> </w:t>
      </w:r>
      <w:r w:rsidR="0072473D" w:rsidRPr="001433A9">
        <w:rPr>
          <w:color w:val="000000" w:themeColor="text1"/>
        </w:rPr>
        <w:t>of professional and scientific associations,</w:t>
      </w:r>
      <w:r w:rsidR="0072473D" w:rsidRPr="001433A9">
        <w:rPr>
          <w:b/>
          <w:bCs/>
          <w:color w:val="000000" w:themeColor="text1"/>
        </w:rPr>
        <w:t xml:space="preserve"> </w:t>
      </w:r>
      <w:r w:rsidR="0072473D" w:rsidRPr="001433A9">
        <w:rPr>
          <w:color w:val="000000" w:themeColor="text1"/>
        </w:rPr>
        <w:t>such as SPARK Society, provides an avenue for</w:t>
      </w:r>
      <w:r w:rsidR="00680ACB" w:rsidRPr="001433A9">
        <w:rPr>
          <w:color w:val="000000" w:themeColor="text1"/>
        </w:rPr>
        <w:t xml:space="preserve"> interacting with</w:t>
      </w:r>
      <w:r w:rsidR="0072473D" w:rsidRPr="001433A9">
        <w:rPr>
          <w:color w:val="000000" w:themeColor="text1"/>
        </w:rPr>
        <w:t xml:space="preserve"> REM</w:t>
      </w:r>
      <w:r w:rsidR="00680ACB" w:rsidRPr="001433A9">
        <w:rPr>
          <w:color w:val="000000" w:themeColor="text1"/>
        </w:rPr>
        <w:t xml:space="preserve"> in an</w:t>
      </w:r>
      <w:r w:rsidR="00F81962" w:rsidRPr="001433A9">
        <w:rPr>
          <w:color w:val="000000" w:themeColor="text1"/>
        </w:rPr>
        <w:t xml:space="preserve"> </w:t>
      </w:r>
      <w:r w:rsidR="00680ACB" w:rsidRPr="001433A9">
        <w:rPr>
          <w:color w:val="000000" w:themeColor="text1"/>
        </w:rPr>
        <w:t>organic way. It is likely that</w:t>
      </w:r>
      <w:r w:rsidR="0072473D" w:rsidRPr="001433A9">
        <w:rPr>
          <w:color w:val="000000" w:themeColor="text1"/>
        </w:rPr>
        <w:t xml:space="preserve"> some of</w:t>
      </w:r>
      <w:r w:rsidR="00680ACB" w:rsidRPr="001433A9">
        <w:rPr>
          <w:color w:val="000000" w:themeColor="text1"/>
        </w:rPr>
        <w:t xml:space="preserve"> these mentees are autistic and may </w:t>
      </w:r>
      <w:r w:rsidR="00173690" w:rsidRPr="001433A9">
        <w:rPr>
          <w:color w:val="000000" w:themeColor="text1"/>
        </w:rPr>
        <w:t>elect to disclose</w:t>
      </w:r>
      <w:r w:rsidR="00F81962" w:rsidRPr="001433A9">
        <w:rPr>
          <w:color w:val="000000" w:themeColor="text1"/>
        </w:rPr>
        <w:t xml:space="preserve"> </w:t>
      </w:r>
      <w:r w:rsidR="00680ACB" w:rsidRPr="001433A9">
        <w:rPr>
          <w:color w:val="000000" w:themeColor="text1"/>
        </w:rPr>
        <w:t>once the mentor has established trust and rapport</w:t>
      </w:r>
      <w:r w:rsidR="0072473D" w:rsidRPr="001433A9">
        <w:rPr>
          <w:color w:val="000000" w:themeColor="text1"/>
        </w:rPr>
        <w:t xml:space="preserve">. </w:t>
      </w:r>
    </w:p>
    <w:p w14:paraId="450E9B5B" w14:textId="08382FE1" w:rsidR="00680ACB" w:rsidRPr="001433A9" w:rsidRDefault="00680ACB" w:rsidP="00851E32">
      <w:pPr>
        <w:widowControl w:val="0"/>
        <w:spacing w:line="480" w:lineRule="auto"/>
        <w:rPr>
          <w:color w:val="000000" w:themeColor="text1"/>
        </w:rPr>
      </w:pPr>
      <w:r w:rsidRPr="001433A9">
        <w:rPr>
          <w:color w:val="000000" w:themeColor="text1"/>
        </w:rPr>
        <w:tab/>
        <w:t xml:space="preserve">A third </w:t>
      </w:r>
      <w:r w:rsidR="00CC5648" w:rsidRPr="001433A9">
        <w:rPr>
          <w:color w:val="000000" w:themeColor="text1"/>
        </w:rPr>
        <w:t xml:space="preserve">domain that does not require systemic action is service. First, as reviewers, </w:t>
      </w:r>
      <w:r w:rsidR="00CC5648" w:rsidRPr="001433A9">
        <w:rPr>
          <w:color w:val="000000" w:themeColor="text1"/>
        </w:rPr>
        <w:lastRenderedPageBreak/>
        <w:t>editorial board members, and editors, resear</w:t>
      </w:r>
      <w:r w:rsidR="00517734" w:rsidRPr="001433A9">
        <w:rPr>
          <w:color w:val="000000" w:themeColor="text1"/>
        </w:rPr>
        <w:t xml:space="preserve">chers should center diversity in research. This means treating diversity as a necessary component of sound </w:t>
      </w:r>
      <w:r w:rsidR="00A76612" w:rsidRPr="001433A9">
        <w:rPr>
          <w:color w:val="000000" w:themeColor="text1"/>
        </w:rPr>
        <w:t>science</w:t>
      </w:r>
      <w:r w:rsidR="00517734" w:rsidRPr="001433A9">
        <w:rPr>
          <w:color w:val="000000" w:themeColor="text1"/>
        </w:rPr>
        <w:t xml:space="preserve"> in terms of both participants and </w:t>
      </w:r>
      <w:r w:rsidR="00A76612" w:rsidRPr="001433A9">
        <w:rPr>
          <w:color w:val="000000" w:themeColor="text1"/>
        </w:rPr>
        <w:t>researchers</w:t>
      </w:r>
      <w:r w:rsidR="00517734" w:rsidRPr="001433A9">
        <w:rPr>
          <w:color w:val="000000" w:themeColor="text1"/>
        </w:rPr>
        <w:t>. Those in positions of power can develop an equity plan in partnership with autistic REM</w:t>
      </w:r>
      <w:r w:rsidR="00AF07B7" w:rsidRPr="001433A9">
        <w:rPr>
          <w:color w:val="000000" w:themeColor="text1"/>
        </w:rPr>
        <w:t xml:space="preserve"> </w:t>
      </w:r>
      <w:r w:rsidR="007460D0" w:rsidRPr="001433A9">
        <w:rPr>
          <w:color w:val="000000" w:themeColor="text1"/>
        </w:rPr>
        <w:t xml:space="preserve">and </w:t>
      </w:r>
      <w:r w:rsidR="00AF07B7" w:rsidRPr="001433A9">
        <w:rPr>
          <w:color w:val="000000" w:themeColor="text1"/>
        </w:rPr>
        <w:t>promote</w:t>
      </w:r>
      <w:r w:rsidR="00517734" w:rsidRPr="001433A9">
        <w:rPr>
          <w:color w:val="000000" w:themeColor="text1"/>
        </w:rPr>
        <w:t xml:space="preserve"> </w:t>
      </w:r>
      <w:r w:rsidR="00A76612" w:rsidRPr="001433A9">
        <w:rPr>
          <w:color w:val="000000" w:themeColor="text1"/>
        </w:rPr>
        <w:t>science by autistic REM</w:t>
      </w:r>
      <w:r w:rsidR="00517734" w:rsidRPr="001433A9">
        <w:rPr>
          <w:color w:val="000000" w:themeColor="text1"/>
        </w:rPr>
        <w:t xml:space="preserve"> </w:t>
      </w:r>
      <w:r w:rsidR="002C6D50" w:rsidRPr="001433A9">
        <w:rPr>
          <w:color w:val="000000" w:themeColor="text1"/>
        </w:rPr>
        <w:t xml:space="preserve">by </w:t>
      </w:r>
      <w:r w:rsidR="00BE797F" w:rsidRPr="001433A9">
        <w:rPr>
          <w:color w:val="000000" w:themeColor="text1"/>
        </w:rPr>
        <w:t xml:space="preserve">not relegating </w:t>
      </w:r>
      <w:r w:rsidR="002C6D50" w:rsidRPr="001433A9">
        <w:rPr>
          <w:color w:val="000000" w:themeColor="text1"/>
        </w:rPr>
        <w:t xml:space="preserve">this work </w:t>
      </w:r>
      <w:r w:rsidR="00BE797F" w:rsidRPr="001433A9">
        <w:rPr>
          <w:color w:val="000000" w:themeColor="text1"/>
        </w:rPr>
        <w:t xml:space="preserve">to </w:t>
      </w:r>
      <w:r w:rsidR="00A76612" w:rsidRPr="001433A9">
        <w:rPr>
          <w:color w:val="000000" w:themeColor="text1"/>
        </w:rPr>
        <w:t>the “diversity corner</w:t>
      </w:r>
      <w:r w:rsidR="002C6D50" w:rsidRPr="001433A9">
        <w:rPr>
          <w:color w:val="000000" w:themeColor="text1"/>
        </w:rPr>
        <w:t>.</w:t>
      </w:r>
      <w:r w:rsidR="00A76612" w:rsidRPr="001433A9">
        <w:rPr>
          <w:color w:val="000000" w:themeColor="text1"/>
        </w:rPr>
        <w:t xml:space="preserve">” </w:t>
      </w:r>
      <w:r w:rsidR="009C6CE5" w:rsidRPr="001433A9">
        <w:rPr>
          <w:color w:val="000000" w:themeColor="text1"/>
        </w:rPr>
        <w:t xml:space="preserve">Second, researchers should </w:t>
      </w:r>
      <w:r w:rsidR="002C6D50" w:rsidRPr="001433A9">
        <w:rPr>
          <w:color w:val="000000" w:themeColor="text1"/>
        </w:rPr>
        <w:t>recruit</w:t>
      </w:r>
      <w:r w:rsidR="00A76612" w:rsidRPr="001433A9">
        <w:rPr>
          <w:color w:val="000000" w:themeColor="text1"/>
        </w:rPr>
        <w:t xml:space="preserve"> autistic REM as regular collaborators and professional connections. </w:t>
      </w:r>
      <w:r w:rsidR="006D2598" w:rsidRPr="001433A9">
        <w:rPr>
          <w:color w:val="000000" w:themeColor="text1"/>
        </w:rPr>
        <w:t xml:space="preserve">One </w:t>
      </w:r>
      <w:r w:rsidR="00A76612" w:rsidRPr="001433A9">
        <w:rPr>
          <w:color w:val="000000" w:themeColor="text1"/>
        </w:rPr>
        <w:t>strategy</w:t>
      </w:r>
      <w:r w:rsidR="006D2598" w:rsidRPr="001433A9">
        <w:rPr>
          <w:color w:val="000000" w:themeColor="text1"/>
        </w:rPr>
        <w:t xml:space="preserve"> might be</w:t>
      </w:r>
      <w:r w:rsidR="009C6CE5" w:rsidRPr="001433A9">
        <w:rPr>
          <w:color w:val="000000" w:themeColor="text1"/>
        </w:rPr>
        <w:t xml:space="preserve"> </w:t>
      </w:r>
      <w:r w:rsidR="00A76612" w:rsidRPr="001433A9">
        <w:rPr>
          <w:color w:val="000000" w:themeColor="text1"/>
        </w:rPr>
        <w:t>to offer to partner with</w:t>
      </w:r>
      <w:r w:rsidR="009C6CE5" w:rsidRPr="001433A9">
        <w:rPr>
          <w:color w:val="000000" w:themeColor="text1"/>
        </w:rPr>
        <w:t xml:space="preserve"> community organizations serving autistic REM </w:t>
      </w:r>
      <w:r w:rsidR="00A76612" w:rsidRPr="001433A9">
        <w:rPr>
          <w:color w:val="000000" w:themeColor="text1"/>
        </w:rPr>
        <w:t xml:space="preserve">to advance their agenda </w:t>
      </w:r>
      <w:r w:rsidR="009C6CE5" w:rsidRPr="001433A9">
        <w:rPr>
          <w:color w:val="000000" w:themeColor="text1"/>
        </w:rPr>
        <w:t>without expectations of research</w:t>
      </w:r>
      <w:r w:rsidR="00A76612" w:rsidRPr="001433A9">
        <w:rPr>
          <w:color w:val="000000" w:themeColor="text1"/>
        </w:rPr>
        <w:t xml:space="preserve"> (e.g., offering to use research skills to help an organization apply for a grant)</w:t>
      </w:r>
      <w:r w:rsidR="009C6CE5" w:rsidRPr="001433A9">
        <w:rPr>
          <w:color w:val="000000" w:themeColor="text1"/>
        </w:rPr>
        <w:t>. Third, researchers should endeavor to advance autistic REM as leaders in research. This involves nominating, and supporting the nomination of, autistic REM for awards, honors, and leadership positions that align to their personal goals.</w:t>
      </w:r>
      <w:r w:rsidR="006D2598" w:rsidRPr="001433A9">
        <w:rPr>
          <w:color w:val="000000" w:themeColor="text1"/>
        </w:rPr>
        <w:t xml:space="preserve"> Last, researchers can support diversity at scholarly meetings in concrete ways by attending autistic REM presentations and events when invited into those spaces. If in positions of power, they can also reach out to autistic REM to meet with them</w:t>
      </w:r>
      <w:r w:rsidR="002C6D50" w:rsidRPr="001433A9">
        <w:rPr>
          <w:color w:val="000000" w:themeColor="text1"/>
        </w:rPr>
        <w:t xml:space="preserve"> </w:t>
      </w:r>
      <w:r w:rsidR="006D2598" w:rsidRPr="001433A9">
        <w:rPr>
          <w:color w:val="000000" w:themeColor="text1"/>
        </w:rPr>
        <w:t>at conferences to discuss their priorities and goals</w:t>
      </w:r>
      <w:r w:rsidR="00A76612" w:rsidRPr="001433A9">
        <w:rPr>
          <w:color w:val="000000" w:themeColor="text1"/>
        </w:rPr>
        <w:t>, and then</w:t>
      </w:r>
      <w:r w:rsidR="006D2598" w:rsidRPr="001433A9">
        <w:rPr>
          <w:color w:val="000000" w:themeColor="text1"/>
        </w:rPr>
        <w:t xml:space="preserve"> </w:t>
      </w:r>
      <w:r w:rsidR="00A76612" w:rsidRPr="001433A9">
        <w:rPr>
          <w:color w:val="000000" w:themeColor="text1"/>
        </w:rPr>
        <w:t>follow</w:t>
      </w:r>
      <w:r w:rsidR="006D2598" w:rsidRPr="001433A9">
        <w:rPr>
          <w:color w:val="000000" w:themeColor="text1"/>
        </w:rPr>
        <w:t xml:space="preserve"> up</w:t>
      </w:r>
      <w:r w:rsidR="00A76612" w:rsidRPr="001433A9">
        <w:rPr>
          <w:color w:val="000000" w:themeColor="text1"/>
        </w:rPr>
        <w:t xml:space="preserve"> on discussion</w:t>
      </w:r>
      <w:r w:rsidR="006D2598" w:rsidRPr="001433A9">
        <w:rPr>
          <w:color w:val="000000" w:themeColor="text1"/>
        </w:rPr>
        <w:t>.</w:t>
      </w:r>
    </w:p>
    <w:p w14:paraId="00DBD773" w14:textId="54342AC5" w:rsidR="006D2598" w:rsidRPr="001433A9" w:rsidRDefault="00C82253" w:rsidP="007909EB">
      <w:pPr>
        <w:widowControl w:val="0"/>
        <w:spacing w:line="480" w:lineRule="auto"/>
        <w:ind w:firstLine="720"/>
        <w:rPr>
          <w:color w:val="000000" w:themeColor="text1"/>
        </w:rPr>
      </w:pPr>
      <w:r w:rsidRPr="001433A9">
        <w:rPr>
          <w:color w:val="000000" w:themeColor="text1"/>
        </w:rPr>
        <w:t xml:space="preserve">In summary, </w:t>
      </w:r>
      <w:r w:rsidR="006D2598" w:rsidRPr="001433A9">
        <w:rPr>
          <w:color w:val="000000" w:themeColor="text1"/>
        </w:rPr>
        <w:t>these action steps offer myriad options for</w:t>
      </w:r>
      <w:r w:rsidR="002C6D50" w:rsidRPr="001433A9">
        <w:rPr>
          <w:color w:val="000000" w:themeColor="text1"/>
        </w:rPr>
        <w:t xml:space="preserve"> </w:t>
      </w:r>
      <w:r w:rsidR="006D2598" w:rsidRPr="001433A9">
        <w:rPr>
          <w:color w:val="000000" w:themeColor="text1"/>
        </w:rPr>
        <w:t>advancing autistic REM</w:t>
      </w:r>
      <w:r w:rsidR="007909EB" w:rsidRPr="001433A9">
        <w:rPr>
          <w:color w:val="000000" w:themeColor="text1"/>
        </w:rPr>
        <w:t xml:space="preserve"> varying in language profiles</w:t>
      </w:r>
      <w:r w:rsidR="006D2598" w:rsidRPr="001433A9">
        <w:rPr>
          <w:color w:val="000000" w:themeColor="text1"/>
        </w:rPr>
        <w:t xml:space="preserve"> in research. The focus is on</w:t>
      </w:r>
      <w:r w:rsidR="00A76612" w:rsidRPr="001433A9">
        <w:rPr>
          <w:color w:val="000000" w:themeColor="text1"/>
        </w:rPr>
        <w:t xml:space="preserve"> </w:t>
      </w:r>
      <w:r w:rsidR="006D2598" w:rsidRPr="001433A9">
        <w:rPr>
          <w:color w:val="000000" w:themeColor="text1"/>
        </w:rPr>
        <w:t>reducing barriers to access, rather than seeing autistic REM as deficient</w:t>
      </w:r>
      <w:r w:rsidR="006B3544" w:rsidRPr="001433A9">
        <w:rPr>
          <w:color w:val="000000" w:themeColor="text1"/>
        </w:rPr>
        <w:t xml:space="preserve"> and engaging in</w:t>
      </w:r>
      <w:r w:rsidR="00A76612" w:rsidRPr="001433A9">
        <w:rPr>
          <w:color w:val="000000" w:themeColor="text1"/>
        </w:rPr>
        <w:t xml:space="preserve"> </w:t>
      </w:r>
      <w:r w:rsidR="006B3544" w:rsidRPr="001433A9">
        <w:rPr>
          <w:color w:val="000000" w:themeColor="text1"/>
        </w:rPr>
        <w:t xml:space="preserve">saviorship or asking </w:t>
      </w:r>
      <w:r w:rsidR="002D47A1" w:rsidRPr="001433A9">
        <w:rPr>
          <w:color w:val="000000" w:themeColor="text1"/>
        </w:rPr>
        <w:t>autistic REM</w:t>
      </w:r>
      <w:r w:rsidR="006B3544" w:rsidRPr="001433A9">
        <w:rPr>
          <w:color w:val="000000" w:themeColor="text1"/>
        </w:rPr>
        <w:t xml:space="preserve"> to take on the burden of grappling with inequity</w:t>
      </w:r>
      <w:r w:rsidR="006D2598" w:rsidRPr="001433A9">
        <w:rPr>
          <w:color w:val="000000" w:themeColor="text1"/>
        </w:rPr>
        <w:t>. Together with other future directions for research, these steps require systematic evaluation of their effectiveness. Thus, a final future direction for research is determining the efficacy of such</w:t>
      </w:r>
      <w:r w:rsidR="00A76612" w:rsidRPr="001433A9">
        <w:rPr>
          <w:color w:val="000000" w:themeColor="text1"/>
        </w:rPr>
        <w:t xml:space="preserve"> </w:t>
      </w:r>
      <w:r w:rsidR="006D2598" w:rsidRPr="001433A9">
        <w:rPr>
          <w:color w:val="000000" w:themeColor="text1"/>
        </w:rPr>
        <w:t>steps individually and together in a package for diversification. These findings will have</w:t>
      </w:r>
      <w:r w:rsidR="00A76612" w:rsidRPr="001433A9">
        <w:rPr>
          <w:color w:val="000000" w:themeColor="text1"/>
        </w:rPr>
        <w:t xml:space="preserve"> </w:t>
      </w:r>
      <w:r w:rsidR="006D2598" w:rsidRPr="001433A9">
        <w:rPr>
          <w:color w:val="000000" w:themeColor="text1"/>
        </w:rPr>
        <w:t>important implications for development and implementation of policies.</w:t>
      </w:r>
    </w:p>
    <w:p w14:paraId="41CEC58A" w14:textId="77777777" w:rsidR="00C82253" w:rsidRPr="001433A9" w:rsidRDefault="00C82253" w:rsidP="00851E32">
      <w:pPr>
        <w:widowControl w:val="0"/>
        <w:spacing w:line="480" w:lineRule="auto"/>
        <w:rPr>
          <w:b/>
          <w:bCs/>
          <w:color w:val="000000" w:themeColor="text1"/>
        </w:rPr>
      </w:pPr>
      <w:r w:rsidRPr="001433A9">
        <w:rPr>
          <w:b/>
          <w:bCs/>
          <w:color w:val="000000" w:themeColor="text1"/>
        </w:rPr>
        <w:t>Conclusions</w:t>
      </w:r>
    </w:p>
    <w:p w14:paraId="4F181D51" w14:textId="77777777" w:rsidR="00141D33" w:rsidRPr="001433A9" w:rsidRDefault="00C82253" w:rsidP="00851E32">
      <w:pPr>
        <w:widowControl w:val="0"/>
        <w:spacing w:line="480" w:lineRule="auto"/>
        <w:ind w:firstLine="720"/>
        <w:rPr>
          <w:color w:val="000000" w:themeColor="text1"/>
        </w:rPr>
      </w:pPr>
      <w:r w:rsidRPr="001433A9">
        <w:rPr>
          <w:color w:val="000000" w:themeColor="text1"/>
        </w:rPr>
        <w:t xml:space="preserve">In evaluating participant sociodemographics, this systematic review found that </w:t>
      </w:r>
      <w:proofErr w:type="gramStart"/>
      <w:r w:rsidRPr="001433A9">
        <w:rPr>
          <w:color w:val="000000" w:themeColor="text1"/>
        </w:rPr>
        <w:t xml:space="preserve">the vast </w:t>
      </w:r>
      <w:r w:rsidRPr="001433A9">
        <w:rPr>
          <w:color w:val="000000" w:themeColor="text1"/>
        </w:rPr>
        <w:lastRenderedPageBreak/>
        <w:t>majority of</w:t>
      </w:r>
      <w:proofErr w:type="gramEnd"/>
      <w:r w:rsidRPr="001433A9">
        <w:rPr>
          <w:color w:val="000000" w:themeColor="text1"/>
        </w:rPr>
        <w:t xml:space="preserve"> studies pertaining to LI in autism for school-age individuals using age-referenced assessments underreport sociodemographics and include nondiverse autistic samples. These findings are consistent with other systematic reviews of autism research, indicating that current findings – based on primarily white individuals – may only be applicable to white autistic participants, versus all in the population. Further exploration of inequities requires </w:t>
      </w:r>
      <w:proofErr w:type="gramStart"/>
      <w:r w:rsidRPr="001433A9">
        <w:rPr>
          <w:color w:val="000000" w:themeColor="text1"/>
        </w:rPr>
        <w:t>intersectional</w:t>
      </w:r>
      <w:proofErr w:type="gramEnd"/>
    </w:p>
    <w:p w14:paraId="347D20FD" w14:textId="6B297D1F" w:rsidR="00C82253" w:rsidRPr="001433A9" w:rsidRDefault="00C82253" w:rsidP="00851E32">
      <w:pPr>
        <w:widowControl w:val="0"/>
        <w:spacing w:line="480" w:lineRule="auto"/>
        <w:rPr>
          <w:color w:val="000000" w:themeColor="text1"/>
        </w:rPr>
      </w:pPr>
      <w:r w:rsidRPr="001433A9">
        <w:rPr>
          <w:color w:val="000000" w:themeColor="text1"/>
        </w:rPr>
        <w:t xml:space="preserve">reporting (or access to intersectional data) and more inclusive reporting guidelines. </w:t>
      </w:r>
    </w:p>
    <w:p w14:paraId="3A41C629" w14:textId="77777777" w:rsidR="00C82253" w:rsidRPr="001433A9" w:rsidRDefault="00C82253" w:rsidP="00774038">
      <w:pPr>
        <w:autoSpaceDE w:val="0"/>
        <w:autoSpaceDN w:val="0"/>
        <w:adjustRightInd w:val="0"/>
        <w:spacing w:line="480" w:lineRule="auto"/>
        <w:jc w:val="center"/>
        <w:rPr>
          <w:rFonts w:eastAsiaTheme="minorHAnsi"/>
          <w:color w:val="000000" w:themeColor="text1"/>
          <w:lang w:eastAsia="en-US"/>
        </w:rPr>
      </w:pPr>
      <w:r w:rsidRPr="001433A9">
        <w:rPr>
          <w:rFonts w:eastAsiaTheme="minorHAnsi"/>
          <w:color w:val="000000" w:themeColor="text1"/>
          <w:lang w:eastAsia="en-US"/>
        </w:rPr>
        <w:t>References</w:t>
      </w:r>
    </w:p>
    <w:p w14:paraId="085BE58B" w14:textId="77777777" w:rsidR="00C82253" w:rsidRPr="001433A9" w:rsidRDefault="00C82253" w:rsidP="00BB3671">
      <w:pPr>
        <w:autoSpaceDE w:val="0"/>
        <w:autoSpaceDN w:val="0"/>
        <w:adjustRightInd w:val="0"/>
        <w:spacing w:line="480" w:lineRule="auto"/>
        <w:rPr>
          <w:rFonts w:eastAsiaTheme="minorHAnsi"/>
          <w:color w:val="000000" w:themeColor="text1"/>
        </w:rPr>
      </w:pPr>
      <w:r w:rsidRPr="001433A9">
        <w:rPr>
          <w:color w:val="000000" w:themeColor="text1"/>
        </w:rPr>
        <w:t>* = article included in review</w:t>
      </w:r>
    </w:p>
    <w:p w14:paraId="4881C662" w14:textId="77777777" w:rsidR="00C82253" w:rsidRPr="001433A9" w:rsidRDefault="00C82253" w:rsidP="00BB74E6">
      <w:pPr>
        <w:pStyle w:val="EndNoteBibliography"/>
        <w:ind w:left="720" w:hanging="720"/>
        <w:rPr>
          <w:noProof/>
          <w:color w:val="000000" w:themeColor="text1"/>
        </w:rPr>
      </w:pPr>
      <w:r w:rsidRPr="001433A9">
        <w:rPr>
          <w:noProof/>
          <w:color w:val="000000" w:themeColor="text1"/>
        </w:rPr>
        <w:t xml:space="preserve">American Psychiatric Association. (2013). </w:t>
      </w:r>
      <w:r w:rsidRPr="001433A9">
        <w:rPr>
          <w:i/>
          <w:noProof/>
          <w:color w:val="000000" w:themeColor="text1"/>
        </w:rPr>
        <w:t>Diagnostic and statistical manual of mental disorders: DSM-5</w:t>
      </w:r>
      <w:r w:rsidRPr="001433A9">
        <w:rPr>
          <w:noProof/>
          <w:color w:val="000000" w:themeColor="text1"/>
        </w:rPr>
        <w:t xml:space="preserve"> (5th ed.). American Psychiatric Association. </w:t>
      </w:r>
    </w:p>
    <w:p w14:paraId="35A482FB" w14:textId="77777777" w:rsidR="00C82253" w:rsidRPr="001433A9" w:rsidRDefault="00C82253" w:rsidP="00BB74E6">
      <w:pPr>
        <w:pStyle w:val="EndNoteBibliography"/>
        <w:ind w:left="720" w:hanging="720"/>
        <w:rPr>
          <w:i/>
          <w:noProof/>
          <w:color w:val="000000" w:themeColor="text1"/>
        </w:rPr>
      </w:pPr>
      <w:r w:rsidRPr="001433A9">
        <w:rPr>
          <w:noProof/>
          <w:color w:val="000000" w:themeColor="text1"/>
        </w:rPr>
        <w:t xml:space="preserve">American Psychological Association. (2020). </w:t>
      </w:r>
      <w:r w:rsidRPr="001433A9">
        <w:rPr>
          <w:i/>
          <w:noProof/>
          <w:color w:val="000000" w:themeColor="text1"/>
        </w:rPr>
        <w:t xml:space="preserve">Publication manual of the American Psychological </w:t>
      </w:r>
    </w:p>
    <w:p w14:paraId="0341A7CF" w14:textId="77777777" w:rsidR="00C82253" w:rsidRPr="001433A9" w:rsidRDefault="00C82253" w:rsidP="00BB74E6">
      <w:pPr>
        <w:pStyle w:val="EndNoteBibliography"/>
        <w:ind w:left="720" w:hanging="720"/>
        <w:rPr>
          <w:noProof/>
          <w:color w:val="000000" w:themeColor="text1"/>
        </w:rPr>
      </w:pPr>
      <w:r w:rsidRPr="001433A9">
        <w:rPr>
          <w:i/>
          <w:noProof/>
          <w:color w:val="000000" w:themeColor="text1"/>
        </w:rPr>
        <w:t>Association: The official guide to APA style</w:t>
      </w:r>
      <w:r w:rsidRPr="001433A9">
        <w:rPr>
          <w:noProof/>
          <w:color w:val="000000" w:themeColor="text1"/>
        </w:rPr>
        <w:t xml:space="preserve"> (7th ed.). Author. </w:t>
      </w:r>
    </w:p>
    <w:p w14:paraId="29677712" w14:textId="77777777" w:rsidR="004D5518" w:rsidRPr="001433A9" w:rsidRDefault="00C82253" w:rsidP="00BB74E6">
      <w:pPr>
        <w:pStyle w:val="EndNoteBibliography"/>
        <w:ind w:left="720" w:hanging="720"/>
        <w:rPr>
          <w:noProof/>
          <w:color w:val="000000" w:themeColor="text1"/>
        </w:rPr>
      </w:pPr>
      <w:r w:rsidRPr="001433A9">
        <w:rPr>
          <w:noProof/>
          <w:color w:val="000000" w:themeColor="text1"/>
        </w:rPr>
        <w:t xml:space="preserve">American Psychological Association. (2021). </w:t>
      </w:r>
      <w:r w:rsidRPr="001433A9">
        <w:rPr>
          <w:i/>
          <w:noProof/>
          <w:color w:val="000000" w:themeColor="text1"/>
        </w:rPr>
        <w:t>Equity, diversity, and inclusion in APA Journals</w:t>
      </w:r>
      <w:r w:rsidRPr="001433A9">
        <w:rPr>
          <w:noProof/>
          <w:color w:val="000000" w:themeColor="text1"/>
        </w:rPr>
        <w:t>.</w:t>
      </w:r>
    </w:p>
    <w:p w14:paraId="14CB1E02" w14:textId="676987DA" w:rsidR="004D5518" w:rsidRPr="001433A9" w:rsidRDefault="00C82253" w:rsidP="004D5518">
      <w:pPr>
        <w:pStyle w:val="EndNoteBibliography"/>
        <w:ind w:left="720"/>
        <w:rPr>
          <w:noProof/>
          <w:color w:val="000000" w:themeColor="text1"/>
        </w:rPr>
      </w:pPr>
      <w:r w:rsidRPr="001433A9">
        <w:rPr>
          <w:noProof/>
          <w:color w:val="000000" w:themeColor="text1"/>
        </w:rPr>
        <w:t xml:space="preserve">Author. Retrieved July 29 from </w:t>
      </w:r>
      <w:r w:rsidR="004D5518" w:rsidRPr="001433A9">
        <w:rPr>
          <w:noProof/>
          <w:color w:val="000000" w:themeColor="text1"/>
        </w:rPr>
        <w:t>https://www.apa.org/pubs/authors/equity-diversity</w:t>
      </w:r>
    </w:p>
    <w:p w14:paraId="08CF74C3" w14:textId="4653B81D" w:rsidR="00C82253" w:rsidRPr="001433A9" w:rsidRDefault="00C82253" w:rsidP="004D5518">
      <w:pPr>
        <w:pStyle w:val="EndNoteBibliography"/>
        <w:ind w:left="720"/>
        <w:rPr>
          <w:noProof/>
          <w:color w:val="000000" w:themeColor="text1"/>
        </w:rPr>
      </w:pPr>
      <w:r w:rsidRPr="001433A9">
        <w:rPr>
          <w:noProof/>
          <w:color w:val="000000" w:themeColor="text1"/>
        </w:rPr>
        <w:t>-inclusion</w:t>
      </w:r>
    </w:p>
    <w:p w14:paraId="19BF180A" w14:textId="77777777" w:rsidR="00C82253" w:rsidRPr="001433A9" w:rsidRDefault="00C82253" w:rsidP="00BB74E6">
      <w:pPr>
        <w:pStyle w:val="EndNoteBibliography"/>
        <w:ind w:left="720" w:hanging="720"/>
        <w:rPr>
          <w:noProof/>
          <w:color w:val="000000" w:themeColor="text1"/>
        </w:rPr>
      </w:pPr>
      <w:r w:rsidRPr="001433A9">
        <w:rPr>
          <w:noProof/>
          <w:color w:val="000000" w:themeColor="text1"/>
        </w:rPr>
        <w:t xml:space="preserve">American Psychological Association Journals. (2021). </w:t>
      </w:r>
      <w:r w:rsidRPr="001433A9">
        <w:rPr>
          <w:i/>
          <w:noProof/>
          <w:color w:val="000000" w:themeColor="text1"/>
        </w:rPr>
        <w:t>Equity, Diversity, and Inclusion Toolkit for Journal Editors</w:t>
      </w:r>
      <w:r w:rsidRPr="001433A9">
        <w:rPr>
          <w:noProof/>
          <w:color w:val="000000" w:themeColor="text1"/>
        </w:rPr>
        <w:t>. Retrieved September 19 from https://www.apa.org/pubs/authors/equity-diversity-inclusion-toolkit</w:t>
      </w:r>
    </w:p>
    <w:p w14:paraId="6AB3E301" w14:textId="6A11A0C7" w:rsidR="00D45494" w:rsidRPr="001433A9" w:rsidRDefault="00D45494" w:rsidP="00BB74E6">
      <w:pPr>
        <w:pStyle w:val="EndNoteBibliography"/>
        <w:ind w:left="720" w:hanging="720"/>
        <w:rPr>
          <w:noProof/>
          <w:color w:val="000000" w:themeColor="text1"/>
        </w:rPr>
      </w:pPr>
      <w:r w:rsidRPr="001433A9">
        <w:rPr>
          <w:color w:val="000000" w:themeColor="text1"/>
        </w:rPr>
        <w:t>American Speech-Language-Hearing Association. (2022). 2021 Demographic profile of ASHA members providing multilingual services. www.asha.org.</w:t>
      </w:r>
    </w:p>
    <w:p w14:paraId="5309EEC5" w14:textId="66B28C0E" w:rsidR="00C82253" w:rsidRPr="001433A9" w:rsidRDefault="00AA17FB"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Anderson, D. K., Lord, C., Risi, S., DiLavore, P. S., Shulman, C., Thurm, A., Welch, K., &amp; Pickles, A. (2007). Patterns of growth in verbal abilities among children with autism spectrum disorder. </w:t>
      </w:r>
      <w:r w:rsidR="00C82253" w:rsidRPr="001433A9">
        <w:rPr>
          <w:i/>
          <w:noProof/>
          <w:color w:val="000000" w:themeColor="text1"/>
        </w:rPr>
        <w:t>Journal of consulting and clinical psychology</w:t>
      </w:r>
      <w:r w:rsidR="00C82253" w:rsidRPr="001433A9">
        <w:rPr>
          <w:noProof/>
          <w:color w:val="000000" w:themeColor="text1"/>
        </w:rPr>
        <w:t>,</w:t>
      </w:r>
      <w:r w:rsidR="00C82253" w:rsidRPr="001433A9">
        <w:rPr>
          <w:i/>
          <w:noProof/>
          <w:color w:val="000000" w:themeColor="text1"/>
        </w:rPr>
        <w:t xml:space="preserve"> 75</w:t>
      </w:r>
      <w:r w:rsidR="00C82253" w:rsidRPr="001433A9">
        <w:rPr>
          <w:noProof/>
          <w:color w:val="000000" w:themeColor="text1"/>
        </w:rPr>
        <w:t xml:space="preserve">(4), 594. https://doi.org/10.1037/0022-006X.75.4.594 </w:t>
      </w:r>
    </w:p>
    <w:p w14:paraId="3910D4FA" w14:textId="77777777" w:rsidR="004D4553" w:rsidRPr="001433A9" w:rsidRDefault="00C82253" w:rsidP="00BB74E6">
      <w:pPr>
        <w:pStyle w:val="EndNoteBibliography"/>
        <w:ind w:left="720" w:hanging="720"/>
        <w:rPr>
          <w:noProof/>
          <w:color w:val="000000" w:themeColor="text1"/>
        </w:rPr>
      </w:pPr>
      <w:r w:rsidRPr="001433A9">
        <w:rPr>
          <w:noProof/>
          <w:color w:val="000000" w:themeColor="text1"/>
        </w:rPr>
        <w:t xml:space="preserve">Annamma, S. A., Connor, D., &amp; Ferri, B. (2013). Dis/ability critical race studies (DisCrit): Theorizing at the intersections of race and dis/ability. </w:t>
      </w:r>
      <w:r w:rsidRPr="001433A9">
        <w:rPr>
          <w:i/>
          <w:noProof/>
          <w:color w:val="000000" w:themeColor="text1"/>
        </w:rPr>
        <w:t>Race Ethnicity and Education</w:t>
      </w:r>
      <w:r w:rsidRPr="001433A9">
        <w:rPr>
          <w:noProof/>
          <w:color w:val="000000" w:themeColor="text1"/>
        </w:rPr>
        <w:t>,</w:t>
      </w:r>
    </w:p>
    <w:p w14:paraId="3F19E088" w14:textId="55C75A6E" w:rsidR="00C82253" w:rsidRPr="001433A9" w:rsidRDefault="00C82253" w:rsidP="004D4553">
      <w:pPr>
        <w:pStyle w:val="EndNoteBibliography"/>
        <w:ind w:left="720"/>
        <w:rPr>
          <w:noProof/>
          <w:color w:val="000000" w:themeColor="text1"/>
        </w:rPr>
      </w:pPr>
      <w:r w:rsidRPr="001433A9">
        <w:rPr>
          <w:i/>
          <w:noProof/>
          <w:color w:val="000000" w:themeColor="text1"/>
        </w:rPr>
        <w:t>16</w:t>
      </w:r>
      <w:r w:rsidRPr="001433A9">
        <w:rPr>
          <w:noProof/>
          <w:color w:val="000000" w:themeColor="text1"/>
        </w:rPr>
        <w:t xml:space="preserve">(1), 1-31. https://doi.org/10.1080/13613324.2012.730511 </w:t>
      </w:r>
    </w:p>
    <w:p w14:paraId="1F52F055" w14:textId="48892DDB" w:rsidR="00AA72AC" w:rsidRPr="001433A9" w:rsidRDefault="00C82253" w:rsidP="00AA72AC">
      <w:pPr>
        <w:pStyle w:val="EndNoteBibliography"/>
        <w:ind w:left="720" w:hanging="720"/>
        <w:rPr>
          <w:noProof/>
          <w:color w:val="000000" w:themeColor="text1"/>
        </w:rPr>
      </w:pPr>
      <w:r w:rsidRPr="001433A9">
        <w:rPr>
          <w:noProof/>
          <w:color w:val="000000" w:themeColor="text1"/>
        </w:rPr>
        <w:t xml:space="preserve">Annamma, S. A., Connor, D. J., &amp; Ferri, B. A. (2016). A truncated genealogy of DisCrit. In D. J. Connoa, B. A. Ferri, &amp; S. A. Annamma (Eds.), </w:t>
      </w:r>
      <w:r w:rsidRPr="001433A9">
        <w:rPr>
          <w:i/>
          <w:noProof/>
          <w:color w:val="000000" w:themeColor="text1"/>
        </w:rPr>
        <w:t>DisCrit: Disability studies and critical race theory in education</w:t>
      </w:r>
      <w:r w:rsidRPr="001433A9">
        <w:rPr>
          <w:noProof/>
          <w:color w:val="000000" w:themeColor="text1"/>
        </w:rPr>
        <w:t xml:space="preserve"> (pp. 1-8). Teachers College Press. </w:t>
      </w:r>
    </w:p>
    <w:p w14:paraId="59AF9544" w14:textId="77777777" w:rsidR="00AA72AC" w:rsidRPr="001433A9" w:rsidRDefault="00C82253" w:rsidP="00AA72AC">
      <w:pPr>
        <w:pStyle w:val="EndNoteBibliography"/>
        <w:ind w:left="720" w:hanging="720"/>
        <w:rPr>
          <w:noProof/>
          <w:color w:val="000000" w:themeColor="text1"/>
        </w:rPr>
      </w:pPr>
      <w:r w:rsidRPr="001433A9">
        <w:rPr>
          <w:noProof/>
          <w:color w:val="000000" w:themeColor="text1"/>
        </w:rPr>
        <w:t xml:space="preserve">Annamma, S. A., Ferri, B. A., &amp; Connor, D. J. (2018). Disability critical race theory: Exploring the intersectional lineage, emergence, and potential futures of DisCrit in education. </w:t>
      </w:r>
      <w:r w:rsidRPr="001433A9">
        <w:rPr>
          <w:i/>
          <w:noProof/>
          <w:color w:val="000000" w:themeColor="text1"/>
        </w:rPr>
        <w:t>Review of Research in Education</w:t>
      </w:r>
      <w:r w:rsidRPr="001433A9">
        <w:rPr>
          <w:noProof/>
          <w:color w:val="000000" w:themeColor="text1"/>
        </w:rPr>
        <w:t>,</w:t>
      </w:r>
      <w:r w:rsidRPr="001433A9">
        <w:rPr>
          <w:i/>
          <w:noProof/>
          <w:color w:val="000000" w:themeColor="text1"/>
        </w:rPr>
        <w:t xml:space="preserve"> 42</w:t>
      </w:r>
      <w:r w:rsidRPr="001433A9">
        <w:rPr>
          <w:noProof/>
          <w:color w:val="000000" w:themeColor="text1"/>
        </w:rPr>
        <w:t xml:space="preserve">(1), 46-71. https://doi.org/10.3102/0091732X18759041 </w:t>
      </w:r>
    </w:p>
    <w:p w14:paraId="3919A425" w14:textId="49DC1ACB" w:rsidR="00AA72AC" w:rsidRPr="001433A9" w:rsidRDefault="00AA72AC" w:rsidP="00AA72AC">
      <w:pPr>
        <w:pStyle w:val="EndNoteBibliography"/>
        <w:ind w:left="720" w:hanging="720"/>
        <w:rPr>
          <w:noProof/>
          <w:color w:val="000000" w:themeColor="text1"/>
        </w:rPr>
      </w:pPr>
      <w:r w:rsidRPr="001433A9">
        <w:rPr>
          <w:color w:val="000000" w:themeColor="text1"/>
          <w:shd w:val="clear" w:color="auto" w:fill="FFFFFF"/>
        </w:rPr>
        <w:t>Annamma, S. A., Jackson, D. D., &amp; Morrison, D. (2017). Conceptualizing color-evasiveness: Using dis/ability critical race theory to expand a color-blind racial ideology in education and society. </w:t>
      </w:r>
      <w:r w:rsidRPr="001433A9">
        <w:rPr>
          <w:i/>
          <w:iCs/>
          <w:color w:val="000000" w:themeColor="text1"/>
          <w:shd w:val="clear" w:color="auto" w:fill="FFFFFF"/>
        </w:rPr>
        <w:t>Race Ethnicity and Education</w:t>
      </w:r>
      <w:r w:rsidRPr="001433A9">
        <w:rPr>
          <w:color w:val="000000" w:themeColor="text1"/>
          <w:shd w:val="clear" w:color="auto" w:fill="FFFFFF"/>
        </w:rPr>
        <w:t>, </w:t>
      </w:r>
      <w:r w:rsidRPr="001433A9">
        <w:rPr>
          <w:i/>
          <w:iCs/>
          <w:color w:val="000000" w:themeColor="text1"/>
          <w:shd w:val="clear" w:color="auto" w:fill="FFFFFF"/>
        </w:rPr>
        <w:t>20</w:t>
      </w:r>
      <w:r w:rsidRPr="001433A9">
        <w:rPr>
          <w:color w:val="000000" w:themeColor="text1"/>
          <w:shd w:val="clear" w:color="auto" w:fill="FFFFFF"/>
        </w:rPr>
        <w:t xml:space="preserve">(2), 147-162. </w:t>
      </w:r>
      <w:r w:rsidRPr="001433A9">
        <w:rPr>
          <w:color w:val="000000" w:themeColor="text1"/>
        </w:rPr>
        <w:t>https://doi.org/10.1080/13613324.2016.1248837</w:t>
      </w:r>
    </w:p>
    <w:p w14:paraId="77C0F7CB" w14:textId="44FD00EF" w:rsidR="00C82253" w:rsidRPr="001433A9" w:rsidRDefault="00C82253" w:rsidP="00BB74E6">
      <w:pPr>
        <w:pStyle w:val="EndNoteBibliography"/>
        <w:ind w:left="720" w:hanging="720"/>
        <w:rPr>
          <w:noProof/>
          <w:color w:val="000000" w:themeColor="text1"/>
        </w:rPr>
      </w:pPr>
      <w:r w:rsidRPr="001433A9">
        <w:rPr>
          <w:noProof/>
          <w:color w:val="000000" w:themeColor="text1"/>
        </w:rPr>
        <w:lastRenderedPageBreak/>
        <w:t xml:space="preserve">Australian Bureau Of Statistics. (2018). </w:t>
      </w:r>
      <w:r w:rsidRPr="001433A9">
        <w:rPr>
          <w:i/>
          <w:noProof/>
          <w:color w:val="000000" w:themeColor="text1"/>
        </w:rPr>
        <w:t>Technical Paper: Socio-economic indexes for areas (SEIFA) 2016</w:t>
      </w:r>
      <w:r w:rsidRPr="001433A9">
        <w:rPr>
          <w:noProof/>
          <w:color w:val="000000" w:themeColor="text1"/>
        </w:rPr>
        <w:t xml:space="preserve"> (2033.0.55.001). (Canberra: Australian Bureau of Statistics, Issue. </w:t>
      </w:r>
    </w:p>
    <w:p w14:paraId="40EF26CC" w14:textId="78E28570" w:rsidR="00C82253" w:rsidRPr="001433A9" w:rsidRDefault="00333BCE"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Bal, V. H., Fok, M., Lord, C., Smith, I. M., Mirenda, P., Szatmari, P., Vaillancourt, T., Volden, J., Waddell, C., &amp; Zwaigenbaum, L. (2020). Predictors of longer‐term development of expressive language in two independent longitudinal cohorts of language‐delayed preschoolers with autism spectrum disorder. </w:t>
      </w:r>
      <w:r w:rsidR="00C82253" w:rsidRPr="001433A9">
        <w:rPr>
          <w:i/>
          <w:noProof/>
          <w:color w:val="000000" w:themeColor="text1"/>
        </w:rPr>
        <w:t>Journal of Child Psychology and Psychiatry</w:t>
      </w:r>
      <w:r w:rsidR="00C82253" w:rsidRPr="001433A9">
        <w:rPr>
          <w:noProof/>
          <w:color w:val="000000" w:themeColor="text1"/>
        </w:rPr>
        <w:t>,</w:t>
      </w:r>
      <w:r w:rsidR="00C82253" w:rsidRPr="001433A9">
        <w:rPr>
          <w:i/>
          <w:noProof/>
          <w:color w:val="000000" w:themeColor="text1"/>
        </w:rPr>
        <w:t xml:space="preserve"> 61</w:t>
      </w:r>
      <w:r w:rsidR="00C82253" w:rsidRPr="001433A9">
        <w:rPr>
          <w:noProof/>
          <w:color w:val="000000" w:themeColor="text1"/>
        </w:rPr>
        <w:t xml:space="preserve">(7), 826-835. https://doi.org/10.1111/jcpp.13117 </w:t>
      </w:r>
    </w:p>
    <w:p w14:paraId="7924A5D2" w14:textId="77777777" w:rsidR="00FD1F9C" w:rsidRPr="001433A9" w:rsidRDefault="00333BCE"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Bal, V. H., Katz, T., Bishop, S. L., &amp; Krasileva, K. (2016). Understanding definitions of</w:t>
      </w:r>
    </w:p>
    <w:p w14:paraId="2D429FD2" w14:textId="0DFA660C" w:rsidR="000E578E" w:rsidRPr="001433A9" w:rsidRDefault="00C82253" w:rsidP="00FD1F9C">
      <w:pPr>
        <w:pStyle w:val="EndNoteBibliography"/>
        <w:ind w:left="720"/>
        <w:rPr>
          <w:i/>
          <w:noProof/>
          <w:color w:val="000000" w:themeColor="text1"/>
        </w:rPr>
      </w:pPr>
      <w:r w:rsidRPr="001433A9">
        <w:rPr>
          <w:noProof/>
          <w:color w:val="000000" w:themeColor="text1"/>
        </w:rPr>
        <w:t xml:space="preserve">minimally verbal across instruments: Evidence for subgroups within minimally verbal children and adolescents with autism spectrum disorder. </w:t>
      </w:r>
      <w:r w:rsidRPr="001433A9">
        <w:rPr>
          <w:i/>
          <w:noProof/>
          <w:color w:val="000000" w:themeColor="text1"/>
        </w:rPr>
        <w:t>Journal of Child Psychology and</w:t>
      </w:r>
    </w:p>
    <w:p w14:paraId="31B04A49" w14:textId="6FFA05C4" w:rsidR="00C82253" w:rsidRPr="001433A9" w:rsidRDefault="00C82253" w:rsidP="000E578E">
      <w:pPr>
        <w:pStyle w:val="EndNoteBibliography"/>
        <w:ind w:left="720"/>
        <w:rPr>
          <w:noProof/>
          <w:color w:val="000000" w:themeColor="text1"/>
        </w:rPr>
      </w:pPr>
      <w:r w:rsidRPr="001433A9">
        <w:rPr>
          <w:i/>
          <w:noProof/>
          <w:color w:val="000000" w:themeColor="text1"/>
        </w:rPr>
        <w:t>Psychiatry</w:t>
      </w:r>
      <w:r w:rsidRPr="001433A9">
        <w:rPr>
          <w:noProof/>
          <w:color w:val="000000" w:themeColor="text1"/>
        </w:rPr>
        <w:t>,</w:t>
      </w:r>
      <w:r w:rsidRPr="001433A9">
        <w:rPr>
          <w:i/>
          <w:noProof/>
          <w:color w:val="000000" w:themeColor="text1"/>
        </w:rPr>
        <w:t xml:space="preserve"> 57</w:t>
      </w:r>
      <w:r w:rsidRPr="001433A9">
        <w:rPr>
          <w:noProof/>
          <w:color w:val="000000" w:themeColor="text1"/>
        </w:rPr>
        <w:t xml:space="preserve">(12), 1424-1433. https://doi.org/10.1111/jcpp.12609 </w:t>
      </w:r>
    </w:p>
    <w:p w14:paraId="5AC34CB0" w14:textId="77777777" w:rsidR="001D32CA" w:rsidRPr="001433A9" w:rsidRDefault="00333BCE"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Barbaro, J., &amp; Dissanayake, C. (2012). Developmental profiles of infants and toddlers with autism spectrum disorders identified prospectively in a community-based setting. </w:t>
      </w:r>
      <w:r w:rsidR="006F2B15" w:rsidRPr="001433A9">
        <w:rPr>
          <w:i/>
          <w:noProof/>
          <w:color w:val="000000" w:themeColor="text1"/>
        </w:rPr>
        <w:t>Journal of Autism and Developmental Disorders</w:t>
      </w:r>
      <w:r w:rsidR="00C82253" w:rsidRPr="001433A9">
        <w:rPr>
          <w:noProof/>
          <w:color w:val="000000" w:themeColor="text1"/>
        </w:rPr>
        <w:t>,</w:t>
      </w:r>
      <w:r w:rsidR="00C82253" w:rsidRPr="001433A9">
        <w:rPr>
          <w:i/>
          <w:noProof/>
          <w:color w:val="000000" w:themeColor="text1"/>
        </w:rPr>
        <w:t xml:space="preserve"> 42</w:t>
      </w:r>
      <w:r w:rsidR="00C82253" w:rsidRPr="001433A9">
        <w:rPr>
          <w:noProof/>
          <w:color w:val="000000" w:themeColor="text1"/>
        </w:rPr>
        <w:t>(9), 1939-1948.</w:t>
      </w:r>
    </w:p>
    <w:p w14:paraId="531E94C1" w14:textId="1161D089" w:rsidR="00C82253" w:rsidRPr="001433A9" w:rsidRDefault="00C82253" w:rsidP="001D32CA">
      <w:pPr>
        <w:pStyle w:val="EndNoteBibliography"/>
        <w:ind w:left="720"/>
        <w:rPr>
          <w:noProof/>
          <w:color w:val="000000" w:themeColor="text1"/>
        </w:rPr>
      </w:pPr>
      <w:r w:rsidRPr="001433A9">
        <w:rPr>
          <w:noProof/>
          <w:color w:val="000000" w:themeColor="text1"/>
        </w:rPr>
        <w:t xml:space="preserve">https://doi.org/10.1007/s10803-012-1441-z </w:t>
      </w:r>
    </w:p>
    <w:p w14:paraId="485D2C42" w14:textId="77777777" w:rsidR="00FB009B" w:rsidRPr="001433A9" w:rsidRDefault="00342C78"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Bauer, G. R., Churchill, S. M., Mahendran, M., Walwyn, C., Lizotte, D., &amp; Villa-Rueda, A. A. (2021). Intersectionality in quantitative research: A systematic review of its emergence and applications of theory and methods. </w:t>
      </w:r>
      <w:r w:rsidR="00C82253" w:rsidRPr="001433A9">
        <w:rPr>
          <w:i/>
          <w:noProof/>
          <w:color w:val="000000" w:themeColor="text1"/>
        </w:rPr>
        <w:t>SSM - Population Health,</w:t>
      </w:r>
      <w:r w:rsidR="00C82253" w:rsidRPr="001433A9">
        <w:rPr>
          <w:noProof/>
          <w:color w:val="000000" w:themeColor="text1"/>
        </w:rPr>
        <w:t>, 100798.</w:t>
      </w:r>
    </w:p>
    <w:p w14:paraId="573D9FD5" w14:textId="3977C19C" w:rsidR="00C82253" w:rsidRPr="001433A9" w:rsidRDefault="00C82253" w:rsidP="00FB009B">
      <w:pPr>
        <w:pStyle w:val="EndNoteBibliography"/>
        <w:ind w:left="720"/>
        <w:rPr>
          <w:noProof/>
          <w:color w:val="000000" w:themeColor="text1"/>
        </w:rPr>
      </w:pPr>
      <w:r w:rsidRPr="001433A9">
        <w:rPr>
          <w:noProof/>
          <w:color w:val="000000" w:themeColor="text1"/>
        </w:rPr>
        <w:t xml:space="preserve">https://doi.org/10.1016/j.ssmph.2021.100798 </w:t>
      </w:r>
    </w:p>
    <w:p w14:paraId="4A2B3BE5" w14:textId="77777777" w:rsidR="009B7605" w:rsidRPr="001433A9" w:rsidRDefault="00342C78"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Bennett, T., Szatmari, P., Bryson, S., Volden, J., Zwaigenbaum, L., Vaccarella, L., Duku, E., &amp;</w:t>
      </w:r>
    </w:p>
    <w:p w14:paraId="5C6EDFF3" w14:textId="77777777" w:rsidR="002A70E9" w:rsidRPr="001433A9" w:rsidRDefault="00C82253" w:rsidP="009B7605">
      <w:pPr>
        <w:pStyle w:val="EndNoteBibliography"/>
        <w:ind w:left="720"/>
        <w:rPr>
          <w:noProof/>
          <w:color w:val="000000" w:themeColor="text1"/>
        </w:rPr>
      </w:pPr>
      <w:r w:rsidRPr="001433A9">
        <w:rPr>
          <w:noProof/>
          <w:color w:val="000000" w:themeColor="text1"/>
        </w:rPr>
        <w:t>Boyle, M. (2008). Differentiating autism and Asperger syndrome on the basis of</w:t>
      </w:r>
    </w:p>
    <w:p w14:paraId="7229818C" w14:textId="2492531B" w:rsidR="00C82253" w:rsidRPr="001433A9" w:rsidRDefault="00C82253" w:rsidP="009B7605">
      <w:pPr>
        <w:pStyle w:val="EndNoteBibliography"/>
        <w:ind w:left="720"/>
        <w:rPr>
          <w:noProof/>
          <w:color w:val="000000" w:themeColor="text1"/>
        </w:rPr>
      </w:pPr>
      <w:r w:rsidRPr="001433A9">
        <w:rPr>
          <w:noProof/>
          <w:color w:val="000000" w:themeColor="text1"/>
        </w:rPr>
        <w:t xml:space="preserve">language delay or impairment. </w:t>
      </w:r>
      <w:r w:rsidR="006F2B15" w:rsidRPr="001433A9">
        <w:rPr>
          <w:i/>
          <w:noProof/>
          <w:color w:val="000000" w:themeColor="text1"/>
        </w:rPr>
        <w:t>Journal of Autism and Developmental Disorders</w:t>
      </w:r>
      <w:r w:rsidRPr="001433A9">
        <w:rPr>
          <w:noProof/>
          <w:color w:val="000000" w:themeColor="text1"/>
        </w:rPr>
        <w:t>,</w:t>
      </w:r>
      <w:r w:rsidRPr="001433A9">
        <w:rPr>
          <w:i/>
          <w:noProof/>
          <w:color w:val="000000" w:themeColor="text1"/>
        </w:rPr>
        <w:t xml:space="preserve"> 38</w:t>
      </w:r>
      <w:r w:rsidRPr="001433A9">
        <w:rPr>
          <w:noProof/>
          <w:color w:val="000000" w:themeColor="text1"/>
        </w:rPr>
        <w:t xml:space="preserve">(4), 616-625. https://doi.org/https://doi.org/10.1007/s10803-007-0428-7 </w:t>
      </w:r>
    </w:p>
    <w:p w14:paraId="532AD5CA" w14:textId="77777777" w:rsidR="006B3544" w:rsidRPr="001433A9" w:rsidRDefault="00333BCE"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Bennett, T., Szatmari, P., Georgiades, K., Hanna, S., Janus, M., Georgiades, S., Duku, E.,</w:t>
      </w:r>
    </w:p>
    <w:p w14:paraId="3D5BC987" w14:textId="2D5896ED" w:rsidR="00C82253" w:rsidRPr="001433A9" w:rsidRDefault="00C82253" w:rsidP="006B3544">
      <w:pPr>
        <w:pStyle w:val="EndNoteBibliography"/>
        <w:ind w:left="720"/>
        <w:rPr>
          <w:noProof/>
          <w:color w:val="000000" w:themeColor="text1"/>
        </w:rPr>
      </w:pPr>
      <w:r w:rsidRPr="001433A9">
        <w:rPr>
          <w:noProof/>
          <w:color w:val="000000" w:themeColor="text1"/>
        </w:rPr>
        <w:t xml:space="preserve">Bryson, S., Fombonne, E., &amp; Smith, I. (2014). Language impairment and early social competence in preschoolers with autism spectrum disorders: a comparison of DSM-5 profiles. </w:t>
      </w:r>
      <w:r w:rsidR="006F2B15" w:rsidRPr="001433A9">
        <w:rPr>
          <w:i/>
          <w:noProof/>
          <w:color w:val="000000" w:themeColor="text1"/>
        </w:rPr>
        <w:t>Journal of Autism and Developmental Disorders</w:t>
      </w:r>
      <w:r w:rsidRPr="001433A9">
        <w:rPr>
          <w:noProof/>
          <w:color w:val="000000" w:themeColor="text1"/>
        </w:rPr>
        <w:t>,</w:t>
      </w:r>
      <w:r w:rsidRPr="001433A9">
        <w:rPr>
          <w:i/>
          <w:noProof/>
          <w:color w:val="000000" w:themeColor="text1"/>
        </w:rPr>
        <w:t xml:space="preserve"> 44</w:t>
      </w:r>
      <w:r w:rsidRPr="001433A9">
        <w:rPr>
          <w:noProof/>
          <w:color w:val="000000" w:themeColor="text1"/>
        </w:rPr>
        <w:t xml:space="preserve">(11), 2797-2808. https://doi.org/10.1007/s10803-014-2138-2 </w:t>
      </w:r>
    </w:p>
    <w:p w14:paraId="054F08A7" w14:textId="77777777" w:rsidR="00C82253" w:rsidRPr="001433A9" w:rsidRDefault="00C82253" w:rsidP="00BB74E6">
      <w:pPr>
        <w:pStyle w:val="EndNoteBibliography"/>
        <w:ind w:left="720" w:hanging="720"/>
        <w:rPr>
          <w:noProof/>
          <w:color w:val="000000" w:themeColor="text1"/>
        </w:rPr>
      </w:pPr>
      <w:r w:rsidRPr="001433A9">
        <w:rPr>
          <w:noProof/>
          <w:color w:val="000000" w:themeColor="text1"/>
        </w:rPr>
        <w:t xml:space="preserve">Betz, S. K., Eickhoff, J. R., &amp; Sullivan, S. F. (2013). Factors influencing the selection of standardized tests for the diagnosis of specific language impairment. </w:t>
      </w:r>
      <w:r w:rsidRPr="001433A9">
        <w:rPr>
          <w:i/>
          <w:noProof/>
          <w:color w:val="000000" w:themeColor="text1"/>
        </w:rPr>
        <w:t>Language, Speech, and Hearing Services in Schools</w:t>
      </w:r>
      <w:r w:rsidRPr="001433A9">
        <w:rPr>
          <w:noProof/>
          <w:color w:val="000000" w:themeColor="text1"/>
        </w:rPr>
        <w:t>,</w:t>
      </w:r>
      <w:r w:rsidRPr="001433A9">
        <w:rPr>
          <w:i/>
          <w:noProof/>
          <w:color w:val="000000" w:themeColor="text1"/>
        </w:rPr>
        <w:t xml:space="preserve"> 44</w:t>
      </w:r>
      <w:r w:rsidRPr="001433A9">
        <w:rPr>
          <w:noProof/>
          <w:color w:val="000000" w:themeColor="text1"/>
        </w:rPr>
        <w:t xml:space="preserve">(2), 133-146. https://doi.org/https://doi.org/10.1044/0161-1461(2012/12-0093) </w:t>
      </w:r>
    </w:p>
    <w:p w14:paraId="4A3D69AB" w14:textId="22FD7DF6" w:rsidR="006A517C" w:rsidRPr="001433A9" w:rsidRDefault="006A517C" w:rsidP="00BB74E6">
      <w:pPr>
        <w:pStyle w:val="EndNoteBibliography"/>
        <w:ind w:left="720" w:hanging="720"/>
        <w:rPr>
          <w:noProof/>
          <w:color w:val="000000" w:themeColor="text1"/>
        </w:rPr>
      </w:pPr>
      <w:r w:rsidRPr="001433A9">
        <w:rPr>
          <w:color w:val="000000" w:themeColor="text1"/>
          <w:shd w:val="clear" w:color="auto" w:fill="FFFFFF"/>
        </w:rPr>
        <w:t>*Biller, M. F., &amp; Johnson, C. J. (2020). Examining useful spoken language in a minimally verbal child with autism spectrum disorder: a descriptive clinical single-case study. </w:t>
      </w:r>
      <w:r w:rsidRPr="001433A9">
        <w:rPr>
          <w:i/>
          <w:iCs/>
          <w:color w:val="000000" w:themeColor="text1"/>
          <w:shd w:val="clear" w:color="auto" w:fill="FFFFFF"/>
        </w:rPr>
        <w:t>American Journal of Speech-Language Pathology</w:t>
      </w:r>
      <w:r w:rsidRPr="001433A9">
        <w:rPr>
          <w:color w:val="000000" w:themeColor="text1"/>
          <w:shd w:val="clear" w:color="auto" w:fill="FFFFFF"/>
        </w:rPr>
        <w:t>, </w:t>
      </w:r>
      <w:r w:rsidRPr="001433A9">
        <w:rPr>
          <w:i/>
          <w:iCs/>
          <w:color w:val="000000" w:themeColor="text1"/>
          <w:shd w:val="clear" w:color="auto" w:fill="FFFFFF"/>
        </w:rPr>
        <w:t>29</w:t>
      </w:r>
      <w:r w:rsidRPr="001433A9">
        <w:rPr>
          <w:color w:val="000000" w:themeColor="text1"/>
          <w:shd w:val="clear" w:color="auto" w:fill="FFFFFF"/>
        </w:rPr>
        <w:t xml:space="preserve">(3), 1361-1375. </w:t>
      </w:r>
      <w:r w:rsidRPr="001433A9">
        <w:rPr>
          <w:color w:val="000000" w:themeColor="text1"/>
          <w:spacing w:val="12"/>
          <w:shd w:val="clear" w:color="auto" w:fill="FFFFFF"/>
        </w:rPr>
        <w:t>https://doi.org/10.1044/2020_AJSLP-19-00085</w:t>
      </w:r>
    </w:p>
    <w:p w14:paraId="17C327A7" w14:textId="6200CCE8" w:rsidR="000470BB" w:rsidRPr="001433A9" w:rsidRDefault="000470BB" w:rsidP="00BB74E6">
      <w:pPr>
        <w:pStyle w:val="EndNoteBibliography"/>
        <w:ind w:left="720" w:hanging="720"/>
        <w:rPr>
          <w:noProof/>
          <w:color w:val="000000" w:themeColor="text1"/>
        </w:rPr>
      </w:pPr>
      <w:r w:rsidRPr="001433A9">
        <w:rPr>
          <w:color w:val="000000" w:themeColor="text1"/>
          <w:shd w:val="clear" w:color="auto" w:fill="FFFFFF"/>
        </w:rPr>
        <w:t>Botha, M., &amp; Gillespie-Lynch, K. (2022). Come as you are: Examining autistic identity development and the neurodiversity movement through an intersectional lens. </w:t>
      </w:r>
      <w:r w:rsidRPr="001433A9">
        <w:rPr>
          <w:i/>
          <w:iCs/>
          <w:color w:val="000000" w:themeColor="text1"/>
          <w:shd w:val="clear" w:color="auto" w:fill="FFFFFF"/>
        </w:rPr>
        <w:t>Human Development</w:t>
      </w:r>
      <w:r w:rsidRPr="001433A9">
        <w:rPr>
          <w:color w:val="000000" w:themeColor="text1"/>
          <w:shd w:val="clear" w:color="auto" w:fill="FFFFFF"/>
        </w:rPr>
        <w:t>, </w:t>
      </w:r>
      <w:r w:rsidRPr="001433A9">
        <w:rPr>
          <w:i/>
          <w:iCs/>
          <w:color w:val="000000" w:themeColor="text1"/>
          <w:shd w:val="clear" w:color="auto" w:fill="FFFFFF"/>
        </w:rPr>
        <w:t>66</w:t>
      </w:r>
      <w:r w:rsidRPr="001433A9">
        <w:rPr>
          <w:color w:val="000000" w:themeColor="text1"/>
          <w:shd w:val="clear" w:color="auto" w:fill="FFFFFF"/>
        </w:rPr>
        <w:t>(2), 93-112.</w:t>
      </w:r>
      <w:r w:rsidRPr="001433A9">
        <w:rPr>
          <w:color w:val="000000" w:themeColor="text1"/>
        </w:rPr>
        <w:t xml:space="preserve"> </w:t>
      </w:r>
      <w:r w:rsidRPr="001433A9">
        <w:rPr>
          <w:color w:val="000000" w:themeColor="text1"/>
          <w:bdr w:val="none" w:sz="0" w:space="0" w:color="auto" w:frame="1"/>
          <w:shd w:val="clear" w:color="auto" w:fill="FFFFFF"/>
        </w:rPr>
        <w:t>https://doi.org/10.1159/000524123</w:t>
      </w:r>
    </w:p>
    <w:p w14:paraId="440BA285" w14:textId="31B8C0A4" w:rsidR="00C82253" w:rsidRPr="001433A9" w:rsidRDefault="00541334"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Botting, N., &amp; Conti‐Ramsden, G. (2003). Autism, primary pragmatic difficulties, and specific language impairment: can we distinguish them using psycholinguistic markers? </w:t>
      </w:r>
      <w:r w:rsidR="00C82253" w:rsidRPr="001433A9">
        <w:rPr>
          <w:i/>
          <w:noProof/>
          <w:color w:val="000000" w:themeColor="text1"/>
        </w:rPr>
        <w:t>Developmental Medicine &amp; Child Neurology</w:t>
      </w:r>
      <w:r w:rsidR="00C82253" w:rsidRPr="001433A9">
        <w:rPr>
          <w:noProof/>
          <w:color w:val="000000" w:themeColor="text1"/>
        </w:rPr>
        <w:t>,</w:t>
      </w:r>
      <w:r w:rsidR="00C82253" w:rsidRPr="001433A9">
        <w:rPr>
          <w:i/>
          <w:noProof/>
          <w:color w:val="000000" w:themeColor="text1"/>
        </w:rPr>
        <w:t xml:space="preserve"> 45</w:t>
      </w:r>
      <w:r w:rsidR="00C82253" w:rsidRPr="001433A9">
        <w:rPr>
          <w:noProof/>
          <w:color w:val="000000" w:themeColor="text1"/>
        </w:rPr>
        <w:t xml:space="preserve">(8), 515-524. https://doi.org/10.1111/j.1469-8749.2003.tb00951.x </w:t>
      </w:r>
    </w:p>
    <w:p w14:paraId="33A73E61" w14:textId="2A7E452F" w:rsidR="00C82253" w:rsidRPr="001433A9" w:rsidRDefault="00333BCE"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Burton, J. M., Creaghead, N. A., Silbert, N., Breit-Smith, A., Duncan, A. W., &amp; Grether, S. M. (2020). Social communication and structural language of girls with high-functioning </w:t>
      </w:r>
      <w:r w:rsidR="00C82253" w:rsidRPr="001433A9">
        <w:rPr>
          <w:noProof/>
          <w:color w:val="000000" w:themeColor="text1"/>
        </w:rPr>
        <w:lastRenderedPageBreak/>
        <w:t xml:space="preserve">autism spectrum disorder. </w:t>
      </w:r>
      <w:r w:rsidR="00C82253" w:rsidRPr="001433A9">
        <w:rPr>
          <w:i/>
          <w:noProof/>
          <w:color w:val="000000" w:themeColor="text1"/>
        </w:rPr>
        <w:t>Language, Speech, and Hearing Services in Schools</w:t>
      </w:r>
      <w:r w:rsidR="00C82253" w:rsidRPr="001433A9">
        <w:rPr>
          <w:noProof/>
          <w:color w:val="000000" w:themeColor="text1"/>
        </w:rPr>
        <w:t>,</w:t>
      </w:r>
      <w:r w:rsidR="00C82253" w:rsidRPr="001433A9">
        <w:rPr>
          <w:i/>
          <w:noProof/>
          <w:color w:val="000000" w:themeColor="text1"/>
        </w:rPr>
        <w:t xml:space="preserve"> 51</w:t>
      </w:r>
      <w:r w:rsidR="00C82253" w:rsidRPr="001433A9">
        <w:rPr>
          <w:noProof/>
          <w:color w:val="000000" w:themeColor="text1"/>
        </w:rPr>
        <w:t xml:space="preserve">(4), 1139-1155. https://doi.org/10.1044/2020_LSHSS-20-00004 </w:t>
      </w:r>
    </w:p>
    <w:p w14:paraId="3210DF56" w14:textId="1562138F" w:rsidR="00C82253" w:rsidRPr="001433A9" w:rsidRDefault="009B4B75"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Charman, T., Drew, A., Baird, C., &amp; Baird, G. (2003). Measuring early language development in preschool children with autism spectrum disorder using the MacArthur Communicative Development Inventory (Infant Form). </w:t>
      </w:r>
      <w:r w:rsidR="00C82253" w:rsidRPr="001433A9">
        <w:rPr>
          <w:i/>
          <w:noProof/>
          <w:color w:val="000000" w:themeColor="text1"/>
        </w:rPr>
        <w:t>Journal of child language</w:t>
      </w:r>
      <w:r w:rsidR="00C82253" w:rsidRPr="001433A9">
        <w:rPr>
          <w:noProof/>
          <w:color w:val="000000" w:themeColor="text1"/>
        </w:rPr>
        <w:t>,</w:t>
      </w:r>
      <w:r w:rsidR="00C82253" w:rsidRPr="001433A9">
        <w:rPr>
          <w:i/>
          <w:noProof/>
          <w:color w:val="000000" w:themeColor="text1"/>
        </w:rPr>
        <w:t xml:space="preserve"> 30</w:t>
      </w:r>
      <w:r w:rsidR="00C82253" w:rsidRPr="001433A9">
        <w:rPr>
          <w:noProof/>
          <w:color w:val="000000" w:themeColor="text1"/>
        </w:rPr>
        <w:t xml:space="preserve">(1), 213-236. https://doi.org/10.1017/S0305000902005482 </w:t>
      </w:r>
    </w:p>
    <w:p w14:paraId="14BCB59B" w14:textId="77777777" w:rsidR="00141D33" w:rsidRPr="001433A9" w:rsidRDefault="00C82253" w:rsidP="00BB74E6">
      <w:pPr>
        <w:pStyle w:val="EndNoteBibliography"/>
        <w:ind w:left="720" w:hanging="720"/>
        <w:rPr>
          <w:i/>
          <w:noProof/>
          <w:color w:val="000000" w:themeColor="text1"/>
        </w:rPr>
      </w:pPr>
      <w:r w:rsidRPr="001433A9">
        <w:rPr>
          <w:noProof/>
          <w:color w:val="000000" w:themeColor="text1"/>
        </w:rPr>
        <w:t xml:space="preserve">Cochrane. (2022). </w:t>
      </w:r>
      <w:r w:rsidRPr="001433A9">
        <w:rPr>
          <w:i/>
          <w:noProof/>
          <w:color w:val="000000" w:themeColor="text1"/>
        </w:rPr>
        <w:t>A tool for assessing Risk of Bias due to Missing Evidence in a synthesis (ROB-</w:t>
      </w:r>
    </w:p>
    <w:p w14:paraId="4C54C6C0" w14:textId="31B20027" w:rsidR="00C82253" w:rsidRPr="001433A9" w:rsidRDefault="00C82253" w:rsidP="00141D33">
      <w:pPr>
        <w:pStyle w:val="EndNoteBibliography"/>
        <w:ind w:left="720"/>
        <w:rPr>
          <w:noProof/>
          <w:color w:val="000000" w:themeColor="text1"/>
        </w:rPr>
      </w:pPr>
      <w:r w:rsidRPr="001433A9">
        <w:rPr>
          <w:i/>
          <w:noProof/>
          <w:color w:val="000000" w:themeColor="text1"/>
        </w:rPr>
        <w:t>ME)</w:t>
      </w:r>
      <w:r w:rsidRPr="001433A9">
        <w:rPr>
          <w:noProof/>
          <w:color w:val="000000" w:themeColor="text1"/>
        </w:rPr>
        <w:t>. https://methods.cochrane.org/bias/resources/rob-me</w:t>
      </w:r>
    </w:p>
    <w:p w14:paraId="6B598BCA" w14:textId="17E698A6" w:rsidR="00C82253" w:rsidRPr="001433A9" w:rsidRDefault="00C50554"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Condouris, K., Meyer, E., &amp; Tager-Flusberg, H. (2003). The relationship between standardized measures of language and measures of spontaneous speech in children with autism. </w:t>
      </w:r>
      <w:r w:rsidR="00C82253" w:rsidRPr="001433A9">
        <w:rPr>
          <w:i/>
          <w:noProof/>
          <w:color w:val="000000" w:themeColor="text1"/>
        </w:rPr>
        <w:t>American Journal of Speech-Language Pathology</w:t>
      </w:r>
      <w:r w:rsidR="00C82253" w:rsidRPr="001433A9">
        <w:rPr>
          <w:noProof/>
          <w:color w:val="000000" w:themeColor="text1"/>
        </w:rPr>
        <w:t>,</w:t>
      </w:r>
      <w:r w:rsidR="00C82253" w:rsidRPr="001433A9">
        <w:rPr>
          <w:i/>
          <w:noProof/>
          <w:color w:val="000000" w:themeColor="text1"/>
        </w:rPr>
        <w:t xml:space="preserve"> 12</w:t>
      </w:r>
      <w:r w:rsidR="00C82253" w:rsidRPr="001433A9">
        <w:rPr>
          <w:noProof/>
          <w:color w:val="000000" w:themeColor="text1"/>
        </w:rPr>
        <w:t xml:space="preserve">, 349-358. https://doi.org/10.1044/1058-0360(2003/080) </w:t>
      </w:r>
    </w:p>
    <w:p w14:paraId="35C36650" w14:textId="77777777" w:rsidR="0043630D" w:rsidRPr="001433A9" w:rsidRDefault="00C82253" w:rsidP="00BB74E6">
      <w:pPr>
        <w:pStyle w:val="EndNoteBibliography"/>
        <w:ind w:left="720" w:hanging="720"/>
        <w:rPr>
          <w:noProof/>
          <w:color w:val="000000" w:themeColor="text1"/>
        </w:rPr>
      </w:pPr>
      <w:r w:rsidRPr="001433A9">
        <w:rPr>
          <w:noProof/>
          <w:color w:val="000000" w:themeColor="text1"/>
        </w:rPr>
        <w:t>Cosgrove, K. T., McDermott, T. J., White, E. J., Mosconi, M. W., Thompson, W. K., Paulus, M.</w:t>
      </w:r>
    </w:p>
    <w:p w14:paraId="71B15CC5" w14:textId="77777777" w:rsidR="001D32CA" w:rsidRPr="001433A9" w:rsidRDefault="00C82253" w:rsidP="0043630D">
      <w:pPr>
        <w:pStyle w:val="EndNoteBibliography"/>
        <w:ind w:left="720"/>
        <w:rPr>
          <w:noProof/>
          <w:color w:val="000000" w:themeColor="text1"/>
        </w:rPr>
      </w:pPr>
      <w:r w:rsidRPr="001433A9">
        <w:rPr>
          <w:noProof/>
          <w:color w:val="000000" w:themeColor="text1"/>
          <w:lang w:val="fr-FR"/>
        </w:rPr>
        <w:t xml:space="preserve">P., Cardenas-Iniguez, C., &amp; Aupperle, R. L. (2022). </w:t>
      </w:r>
      <w:r w:rsidRPr="001433A9">
        <w:rPr>
          <w:noProof/>
          <w:color w:val="000000" w:themeColor="text1"/>
        </w:rPr>
        <w:t>Limits to the generalizability of</w:t>
      </w:r>
    </w:p>
    <w:p w14:paraId="4482008C" w14:textId="77777777" w:rsidR="001D32CA" w:rsidRPr="001433A9" w:rsidRDefault="00C82253" w:rsidP="0043630D">
      <w:pPr>
        <w:pStyle w:val="EndNoteBibliography"/>
        <w:ind w:left="720"/>
        <w:rPr>
          <w:noProof/>
          <w:color w:val="000000" w:themeColor="text1"/>
        </w:rPr>
      </w:pPr>
      <w:r w:rsidRPr="001433A9">
        <w:rPr>
          <w:noProof/>
          <w:color w:val="000000" w:themeColor="text1"/>
        </w:rPr>
        <w:t>resting-state functional magnetic resonance imaging studies of youth: An examination of</w:t>
      </w:r>
    </w:p>
    <w:p w14:paraId="6554AEA1" w14:textId="4A5BC7F6" w:rsidR="00C82253" w:rsidRPr="001433A9" w:rsidRDefault="00C82253" w:rsidP="0043630D">
      <w:pPr>
        <w:pStyle w:val="EndNoteBibliography"/>
        <w:ind w:left="720"/>
        <w:rPr>
          <w:noProof/>
          <w:color w:val="000000" w:themeColor="text1"/>
        </w:rPr>
      </w:pPr>
      <w:r w:rsidRPr="001433A9">
        <w:rPr>
          <w:noProof/>
          <w:color w:val="000000" w:themeColor="text1"/>
        </w:rPr>
        <w:t xml:space="preserve">ABCD Study® baseline data. </w:t>
      </w:r>
      <w:r w:rsidRPr="001433A9">
        <w:rPr>
          <w:i/>
          <w:noProof/>
          <w:color w:val="000000" w:themeColor="text1"/>
        </w:rPr>
        <w:t>Brain Imaging Behav</w:t>
      </w:r>
      <w:r w:rsidRPr="001433A9">
        <w:rPr>
          <w:noProof/>
          <w:color w:val="000000" w:themeColor="text1"/>
        </w:rPr>
        <w:t>,</w:t>
      </w:r>
      <w:r w:rsidRPr="001433A9">
        <w:rPr>
          <w:i/>
          <w:noProof/>
          <w:color w:val="000000" w:themeColor="text1"/>
        </w:rPr>
        <w:t xml:space="preserve"> 16</w:t>
      </w:r>
      <w:r w:rsidRPr="001433A9">
        <w:rPr>
          <w:noProof/>
          <w:color w:val="000000" w:themeColor="text1"/>
        </w:rPr>
        <w:t xml:space="preserve">(4), 1919-1925. https://doi.org/10.1007/s11682-022-00665-2 </w:t>
      </w:r>
    </w:p>
    <w:p w14:paraId="5D8EC399" w14:textId="77777777" w:rsidR="00FB009B" w:rsidRPr="001433A9" w:rsidRDefault="00C82253" w:rsidP="00BB74E6">
      <w:pPr>
        <w:pStyle w:val="EndNoteBibliography"/>
        <w:ind w:left="720" w:hanging="720"/>
        <w:rPr>
          <w:noProof/>
          <w:color w:val="000000" w:themeColor="text1"/>
        </w:rPr>
      </w:pPr>
      <w:r w:rsidRPr="001433A9">
        <w:rPr>
          <w:noProof/>
          <w:color w:val="000000" w:themeColor="text1"/>
        </w:rPr>
        <w:t>Crenshaw, K. (1989). Demarginalising the intersection of race and sex: A black feminist critique</w:t>
      </w:r>
    </w:p>
    <w:p w14:paraId="7CBC4634" w14:textId="48F2B9C5" w:rsidR="00C82253" w:rsidRPr="001433A9" w:rsidRDefault="00C82253" w:rsidP="00FB009B">
      <w:pPr>
        <w:pStyle w:val="EndNoteBibliography"/>
        <w:ind w:left="720"/>
        <w:rPr>
          <w:noProof/>
          <w:color w:val="000000" w:themeColor="text1"/>
        </w:rPr>
      </w:pPr>
      <w:r w:rsidRPr="001433A9">
        <w:rPr>
          <w:noProof/>
          <w:color w:val="000000" w:themeColor="text1"/>
        </w:rPr>
        <w:t xml:space="preserve">of antidiscrimination doctrine, feminist theory and antiracist politics. </w:t>
      </w:r>
      <w:r w:rsidRPr="001433A9">
        <w:rPr>
          <w:i/>
          <w:noProof/>
          <w:color w:val="000000" w:themeColor="text1"/>
        </w:rPr>
        <w:t>University of Chicago Legal Forum</w:t>
      </w:r>
      <w:r w:rsidRPr="001433A9">
        <w:rPr>
          <w:noProof/>
          <w:color w:val="000000" w:themeColor="text1"/>
        </w:rPr>
        <w:t>,</w:t>
      </w:r>
      <w:r w:rsidRPr="001433A9">
        <w:rPr>
          <w:i/>
          <w:noProof/>
          <w:color w:val="000000" w:themeColor="text1"/>
        </w:rPr>
        <w:t xml:space="preserve"> 140</w:t>
      </w:r>
      <w:r w:rsidRPr="001433A9">
        <w:rPr>
          <w:noProof/>
          <w:color w:val="000000" w:themeColor="text1"/>
        </w:rPr>
        <w:t xml:space="preserve">, 25-42. https://doi.org/10.4324/9781315582924-10 </w:t>
      </w:r>
    </w:p>
    <w:p w14:paraId="5DDE326C" w14:textId="77777777" w:rsidR="00C82253" w:rsidRPr="001433A9" w:rsidRDefault="00C82253" w:rsidP="00BB74E6">
      <w:pPr>
        <w:pStyle w:val="EndNoteBibliography"/>
        <w:ind w:left="720" w:hanging="720"/>
        <w:rPr>
          <w:noProof/>
          <w:color w:val="000000" w:themeColor="text1"/>
        </w:rPr>
      </w:pPr>
      <w:r w:rsidRPr="001433A9">
        <w:rPr>
          <w:noProof/>
          <w:color w:val="000000" w:themeColor="text1"/>
        </w:rPr>
        <w:t xml:space="preserve">Crenshaw, K. (1991). Mapping the margins: Intersectionality, identity politics, and violence against women of color. </w:t>
      </w:r>
      <w:r w:rsidRPr="001433A9">
        <w:rPr>
          <w:i/>
          <w:noProof/>
          <w:color w:val="000000" w:themeColor="text1"/>
        </w:rPr>
        <w:t>Stanford Law Review</w:t>
      </w:r>
      <w:r w:rsidRPr="001433A9">
        <w:rPr>
          <w:noProof/>
          <w:color w:val="000000" w:themeColor="text1"/>
        </w:rPr>
        <w:t>,</w:t>
      </w:r>
      <w:r w:rsidRPr="001433A9">
        <w:rPr>
          <w:i/>
          <w:noProof/>
          <w:color w:val="000000" w:themeColor="text1"/>
        </w:rPr>
        <w:t xml:space="preserve"> 43</w:t>
      </w:r>
      <w:r w:rsidRPr="001433A9">
        <w:rPr>
          <w:noProof/>
          <w:color w:val="000000" w:themeColor="text1"/>
        </w:rPr>
        <w:t xml:space="preserve">(6), 1241-1499. https://doi.org/10.2307/1229039 </w:t>
      </w:r>
    </w:p>
    <w:p w14:paraId="13D9A380" w14:textId="77777777" w:rsidR="006B3544" w:rsidRPr="001433A9" w:rsidRDefault="00C82253" w:rsidP="00BB74E6">
      <w:pPr>
        <w:pStyle w:val="EndNoteBibliography"/>
        <w:ind w:left="720" w:hanging="720"/>
        <w:rPr>
          <w:noProof/>
          <w:color w:val="000000" w:themeColor="text1"/>
        </w:rPr>
      </w:pPr>
      <w:r w:rsidRPr="001433A9">
        <w:rPr>
          <w:noProof/>
          <w:color w:val="000000" w:themeColor="text1"/>
        </w:rPr>
        <w:t>Croen, L. A., Grether, J. K., Hoogstrate, J., &amp; Selvin, S. (2002). The changing prevalence of</w:t>
      </w:r>
    </w:p>
    <w:p w14:paraId="30414B0D" w14:textId="1F623227" w:rsidR="00C82253" w:rsidRPr="001433A9" w:rsidRDefault="00C82253" w:rsidP="006B3544">
      <w:pPr>
        <w:pStyle w:val="EndNoteBibliography"/>
        <w:ind w:left="720"/>
        <w:rPr>
          <w:noProof/>
          <w:color w:val="000000" w:themeColor="text1"/>
        </w:rPr>
      </w:pPr>
      <w:r w:rsidRPr="001433A9">
        <w:rPr>
          <w:noProof/>
          <w:color w:val="000000" w:themeColor="text1"/>
        </w:rPr>
        <w:t xml:space="preserve">autism in California. </w:t>
      </w:r>
      <w:r w:rsidR="006F2B15" w:rsidRPr="001433A9">
        <w:rPr>
          <w:i/>
          <w:noProof/>
          <w:color w:val="000000" w:themeColor="text1"/>
        </w:rPr>
        <w:t>Journal of Autism and Developmental Disorders</w:t>
      </w:r>
      <w:r w:rsidRPr="001433A9">
        <w:rPr>
          <w:noProof/>
          <w:color w:val="000000" w:themeColor="text1"/>
        </w:rPr>
        <w:t>,</w:t>
      </w:r>
      <w:r w:rsidRPr="001433A9">
        <w:rPr>
          <w:i/>
          <w:noProof/>
          <w:color w:val="000000" w:themeColor="text1"/>
        </w:rPr>
        <w:t xml:space="preserve"> 32</w:t>
      </w:r>
      <w:r w:rsidRPr="001433A9">
        <w:rPr>
          <w:noProof/>
          <w:color w:val="000000" w:themeColor="text1"/>
        </w:rPr>
        <w:t xml:space="preserve">(3), 207-215. </w:t>
      </w:r>
    </w:p>
    <w:p w14:paraId="5A2400FB" w14:textId="77777777" w:rsidR="006D2598" w:rsidRPr="001433A9" w:rsidRDefault="00C82253" w:rsidP="00BB74E6">
      <w:pPr>
        <w:pStyle w:val="EndNoteBibliography"/>
        <w:ind w:left="720" w:hanging="720"/>
        <w:rPr>
          <w:noProof/>
          <w:color w:val="000000" w:themeColor="text1"/>
        </w:rPr>
      </w:pPr>
      <w:r w:rsidRPr="001433A9">
        <w:rPr>
          <w:noProof/>
          <w:color w:val="000000" w:themeColor="text1"/>
        </w:rPr>
        <w:t>Durkin, M. S., Elsabbagh, M., Barbaro, J., Gladstone, M., Happe, F., Hoekstra, R. A., Lee, L. C.,</w:t>
      </w:r>
    </w:p>
    <w:p w14:paraId="207EB32D" w14:textId="77777777" w:rsidR="006D2598" w:rsidRPr="001433A9" w:rsidRDefault="00C82253" w:rsidP="006D2598">
      <w:pPr>
        <w:pStyle w:val="EndNoteBibliography"/>
        <w:ind w:left="720"/>
        <w:rPr>
          <w:noProof/>
          <w:color w:val="000000" w:themeColor="text1"/>
        </w:rPr>
      </w:pPr>
      <w:r w:rsidRPr="001433A9">
        <w:rPr>
          <w:noProof/>
          <w:color w:val="000000" w:themeColor="text1"/>
        </w:rPr>
        <w:t>Rattazzi, A., Stapel‐Wax, J., &amp; Stone, W. L. (2015). Autism screening and diagnosis in</w:t>
      </w:r>
    </w:p>
    <w:p w14:paraId="28207BBC" w14:textId="37AC8543" w:rsidR="00602F38" w:rsidRPr="001433A9" w:rsidRDefault="00C82253" w:rsidP="006D2598">
      <w:pPr>
        <w:pStyle w:val="EndNoteBibliography"/>
        <w:ind w:left="720"/>
        <w:rPr>
          <w:noProof/>
          <w:color w:val="000000" w:themeColor="text1"/>
        </w:rPr>
      </w:pPr>
      <w:r w:rsidRPr="001433A9">
        <w:rPr>
          <w:noProof/>
          <w:color w:val="000000" w:themeColor="text1"/>
        </w:rPr>
        <w:t>low resource settings: challenges and opportunities to enhance research and services</w:t>
      </w:r>
    </w:p>
    <w:p w14:paraId="53E90830" w14:textId="0137A268" w:rsidR="00C82253" w:rsidRPr="001433A9" w:rsidRDefault="00C82253" w:rsidP="00602F38">
      <w:pPr>
        <w:pStyle w:val="EndNoteBibliography"/>
        <w:ind w:left="720"/>
        <w:rPr>
          <w:noProof/>
          <w:color w:val="000000" w:themeColor="text1"/>
        </w:rPr>
      </w:pPr>
      <w:r w:rsidRPr="001433A9">
        <w:rPr>
          <w:noProof/>
          <w:color w:val="000000" w:themeColor="text1"/>
        </w:rPr>
        <w:t xml:space="preserve">worldwide. </w:t>
      </w:r>
      <w:r w:rsidRPr="001433A9">
        <w:rPr>
          <w:i/>
          <w:noProof/>
          <w:color w:val="000000" w:themeColor="text1"/>
        </w:rPr>
        <w:t>Autism Research</w:t>
      </w:r>
      <w:r w:rsidRPr="001433A9">
        <w:rPr>
          <w:noProof/>
          <w:color w:val="000000" w:themeColor="text1"/>
        </w:rPr>
        <w:t>,</w:t>
      </w:r>
      <w:r w:rsidRPr="001433A9">
        <w:rPr>
          <w:i/>
          <w:noProof/>
          <w:color w:val="000000" w:themeColor="text1"/>
        </w:rPr>
        <w:t xml:space="preserve"> 8</w:t>
      </w:r>
      <w:r w:rsidRPr="001433A9">
        <w:rPr>
          <w:noProof/>
          <w:color w:val="000000" w:themeColor="text1"/>
        </w:rPr>
        <w:t xml:space="preserve">(5), 473-476. https://doi.org/10.1002/aur.1575 </w:t>
      </w:r>
    </w:p>
    <w:p w14:paraId="2DEC0ACE" w14:textId="3DDFB1A2" w:rsidR="00C82253" w:rsidRPr="001433A9" w:rsidRDefault="007111FA"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Eigsti, I.-M., &amp; Bennetto, L. (2009). Grammaticality judgments in autism: Deviance or delay. </w:t>
      </w:r>
      <w:r w:rsidR="00C82253" w:rsidRPr="001433A9">
        <w:rPr>
          <w:i/>
          <w:noProof/>
          <w:color w:val="000000" w:themeColor="text1"/>
        </w:rPr>
        <w:t>Journal of child language</w:t>
      </w:r>
      <w:r w:rsidR="00C82253" w:rsidRPr="001433A9">
        <w:rPr>
          <w:noProof/>
          <w:color w:val="000000" w:themeColor="text1"/>
        </w:rPr>
        <w:t>,</w:t>
      </w:r>
      <w:r w:rsidR="00C82253" w:rsidRPr="001433A9">
        <w:rPr>
          <w:i/>
          <w:noProof/>
          <w:color w:val="000000" w:themeColor="text1"/>
        </w:rPr>
        <w:t xml:space="preserve"> 36</w:t>
      </w:r>
      <w:r w:rsidR="00C82253" w:rsidRPr="001433A9">
        <w:rPr>
          <w:noProof/>
          <w:color w:val="000000" w:themeColor="text1"/>
        </w:rPr>
        <w:t xml:space="preserve">(5), 999-1021. https://doi.org/10.1017/S0305000909009362 </w:t>
      </w:r>
    </w:p>
    <w:p w14:paraId="56376607" w14:textId="77777777" w:rsidR="00F81962" w:rsidRPr="001433A9" w:rsidRDefault="007111FA"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Eigsti, I.-M., Bennetto, L., &amp; Dadlani, M. B. (2007). Beyond pragmatics: Morphosyntactic</w:t>
      </w:r>
    </w:p>
    <w:p w14:paraId="536753DB" w14:textId="26520B50" w:rsidR="00C82253" w:rsidRPr="001433A9" w:rsidRDefault="00C82253" w:rsidP="00F81962">
      <w:pPr>
        <w:pStyle w:val="EndNoteBibliography"/>
        <w:ind w:left="720"/>
        <w:rPr>
          <w:noProof/>
          <w:color w:val="000000" w:themeColor="text1"/>
        </w:rPr>
      </w:pPr>
      <w:r w:rsidRPr="001433A9">
        <w:rPr>
          <w:noProof/>
          <w:color w:val="000000" w:themeColor="text1"/>
        </w:rPr>
        <w:t xml:space="preserve">development in autism. </w:t>
      </w:r>
      <w:r w:rsidR="006F2B15" w:rsidRPr="001433A9">
        <w:rPr>
          <w:i/>
          <w:noProof/>
          <w:color w:val="000000" w:themeColor="text1"/>
        </w:rPr>
        <w:t>Journal of Autism and Developmental Disorders</w:t>
      </w:r>
      <w:r w:rsidRPr="001433A9">
        <w:rPr>
          <w:noProof/>
          <w:color w:val="000000" w:themeColor="text1"/>
        </w:rPr>
        <w:t>,</w:t>
      </w:r>
      <w:r w:rsidRPr="001433A9">
        <w:rPr>
          <w:i/>
          <w:noProof/>
          <w:color w:val="000000" w:themeColor="text1"/>
        </w:rPr>
        <w:t xml:space="preserve"> 37</w:t>
      </w:r>
      <w:r w:rsidRPr="001433A9">
        <w:rPr>
          <w:noProof/>
          <w:color w:val="000000" w:themeColor="text1"/>
        </w:rPr>
        <w:t xml:space="preserve">(6), 1007-1023. https://doi.org/10.1007/s10803-006-0239-2 </w:t>
      </w:r>
    </w:p>
    <w:p w14:paraId="3E08DC4A" w14:textId="1DCC9D48" w:rsidR="00C82253" w:rsidRPr="001433A9" w:rsidRDefault="006A517C" w:rsidP="00BB74E6">
      <w:pPr>
        <w:pStyle w:val="EndNoteBibliography"/>
        <w:ind w:left="720" w:hanging="720"/>
        <w:rPr>
          <w:noProof/>
          <w:color w:val="000000" w:themeColor="text1"/>
        </w:rPr>
      </w:pPr>
      <w:r w:rsidRPr="001433A9">
        <w:rPr>
          <w:noProof/>
          <w:color w:val="000000" w:themeColor="text1"/>
          <w:lang w:val="fr-FR"/>
        </w:rPr>
        <w:t>*</w:t>
      </w:r>
      <w:r w:rsidR="00C82253" w:rsidRPr="001433A9">
        <w:rPr>
          <w:noProof/>
          <w:color w:val="000000" w:themeColor="text1"/>
          <w:lang w:val="fr-FR"/>
        </w:rPr>
        <w:t xml:space="preserve">Ellawadi, A. B., &amp; Weismer, S. E. (2015). </w:t>
      </w:r>
      <w:r w:rsidR="00C82253" w:rsidRPr="001433A9">
        <w:rPr>
          <w:noProof/>
          <w:color w:val="000000" w:themeColor="text1"/>
        </w:rPr>
        <w:t xml:space="preserve">Using spoken language benchmarks to characterize the expressive language skills of young children with autism spectrum disorders. </w:t>
      </w:r>
      <w:r w:rsidR="00C82253" w:rsidRPr="001433A9">
        <w:rPr>
          <w:i/>
          <w:noProof/>
          <w:color w:val="000000" w:themeColor="text1"/>
        </w:rPr>
        <w:t>American Journal of Speech-Language Pathology</w:t>
      </w:r>
      <w:r w:rsidR="00C82253" w:rsidRPr="001433A9">
        <w:rPr>
          <w:noProof/>
          <w:color w:val="000000" w:themeColor="text1"/>
        </w:rPr>
        <w:t>,</w:t>
      </w:r>
      <w:r w:rsidR="00C82253" w:rsidRPr="001433A9">
        <w:rPr>
          <w:i/>
          <w:noProof/>
          <w:color w:val="000000" w:themeColor="text1"/>
        </w:rPr>
        <w:t xml:space="preserve"> 24</w:t>
      </w:r>
      <w:r w:rsidR="00C82253" w:rsidRPr="001433A9">
        <w:rPr>
          <w:noProof/>
          <w:color w:val="000000" w:themeColor="text1"/>
        </w:rPr>
        <w:t xml:space="preserve">(4), 696-707. https://doi.org/10.1044/2015_AJSLP-14-0190 </w:t>
      </w:r>
    </w:p>
    <w:p w14:paraId="74F7D3A7" w14:textId="3CB2870C" w:rsidR="00C82253" w:rsidRPr="001433A9" w:rsidRDefault="00485E09"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Ellis Weismer, S., Gernsbacher, M. A., Stronach, S., Karasinski, C., Eernisse, E. R., Venker, C. E., &amp; Sindberg, H. (2011). Lexical and grammatical skills in toddlers on the autism spectrum compared to late talking toddlers. </w:t>
      </w:r>
      <w:r w:rsidR="006F2B15" w:rsidRPr="001433A9">
        <w:rPr>
          <w:i/>
          <w:noProof/>
          <w:color w:val="000000" w:themeColor="text1"/>
        </w:rPr>
        <w:t>Journal of Autism and Developmental Disorders</w:t>
      </w:r>
      <w:r w:rsidR="00C82253" w:rsidRPr="001433A9">
        <w:rPr>
          <w:noProof/>
          <w:color w:val="000000" w:themeColor="text1"/>
        </w:rPr>
        <w:t>,</w:t>
      </w:r>
      <w:r w:rsidR="00C82253" w:rsidRPr="001433A9">
        <w:rPr>
          <w:i/>
          <w:noProof/>
          <w:color w:val="000000" w:themeColor="text1"/>
        </w:rPr>
        <w:t xml:space="preserve"> 41</w:t>
      </w:r>
      <w:r w:rsidR="00C82253" w:rsidRPr="001433A9">
        <w:rPr>
          <w:noProof/>
          <w:color w:val="000000" w:themeColor="text1"/>
        </w:rPr>
        <w:t xml:space="preserve">(8), 1065-1075. https://doi.org/10.1007/s10803-010-1134-4 </w:t>
      </w:r>
    </w:p>
    <w:p w14:paraId="627FA687" w14:textId="40F1DB4F" w:rsidR="00C82253" w:rsidRPr="001433A9" w:rsidRDefault="002D0044"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Ellis Weismer, S., &amp; Kover, S. T. (2015). Preschool language variation, growth, and predictors in children on the autism spectrum. </w:t>
      </w:r>
      <w:r w:rsidR="00C82253" w:rsidRPr="001433A9">
        <w:rPr>
          <w:i/>
          <w:noProof/>
          <w:color w:val="000000" w:themeColor="text1"/>
        </w:rPr>
        <w:t>Journal of Child Psychology and Psychiatry</w:t>
      </w:r>
      <w:r w:rsidR="00C82253" w:rsidRPr="001433A9">
        <w:rPr>
          <w:noProof/>
          <w:color w:val="000000" w:themeColor="text1"/>
        </w:rPr>
        <w:t>,</w:t>
      </w:r>
      <w:r w:rsidR="00C82253" w:rsidRPr="001433A9">
        <w:rPr>
          <w:i/>
          <w:noProof/>
          <w:color w:val="000000" w:themeColor="text1"/>
        </w:rPr>
        <w:t xml:space="preserve"> 56</w:t>
      </w:r>
      <w:r w:rsidR="00C82253" w:rsidRPr="001433A9">
        <w:rPr>
          <w:noProof/>
          <w:color w:val="000000" w:themeColor="text1"/>
        </w:rPr>
        <w:t xml:space="preserve">(12), 1327-1337. https://doi.org/10.1111/jcpp.12406 </w:t>
      </w:r>
    </w:p>
    <w:p w14:paraId="3FD560B8" w14:textId="77777777" w:rsidR="00173690" w:rsidRPr="001433A9" w:rsidRDefault="006A517C" w:rsidP="00BB74E6">
      <w:pPr>
        <w:pStyle w:val="EndNoteBibliography"/>
        <w:ind w:left="720" w:hanging="720"/>
        <w:rPr>
          <w:noProof/>
          <w:color w:val="000000" w:themeColor="text1"/>
        </w:rPr>
      </w:pPr>
      <w:r w:rsidRPr="001433A9">
        <w:rPr>
          <w:noProof/>
          <w:color w:val="000000" w:themeColor="text1"/>
          <w:lang w:val="fr-FR"/>
        </w:rPr>
        <w:t>*</w:t>
      </w:r>
      <w:r w:rsidR="00C82253" w:rsidRPr="001433A9">
        <w:rPr>
          <w:noProof/>
          <w:color w:val="000000" w:themeColor="text1"/>
          <w:lang w:val="fr-FR"/>
        </w:rPr>
        <w:t xml:space="preserve">Ellis Weismer, S., Lord, C., &amp; Esler, A. (2010). </w:t>
      </w:r>
      <w:r w:rsidR="00C82253" w:rsidRPr="001433A9">
        <w:rPr>
          <w:noProof/>
          <w:color w:val="000000" w:themeColor="text1"/>
        </w:rPr>
        <w:t>Early language patterns of toddlers on the</w:t>
      </w:r>
    </w:p>
    <w:p w14:paraId="5624626E" w14:textId="77EC4F74" w:rsidR="00C82253" w:rsidRPr="001433A9" w:rsidRDefault="00C82253" w:rsidP="00173690">
      <w:pPr>
        <w:pStyle w:val="EndNoteBibliography"/>
        <w:ind w:left="720"/>
        <w:rPr>
          <w:noProof/>
          <w:color w:val="000000" w:themeColor="text1"/>
        </w:rPr>
      </w:pPr>
      <w:r w:rsidRPr="001433A9">
        <w:rPr>
          <w:noProof/>
          <w:color w:val="000000" w:themeColor="text1"/>
        </w:rPr>
        <w:lastRenderedPageBreak/>
        <w:t xml:space="preserve">autism spectrum compared to toddlers with developmental delay. </w:t>
      </w:r>
      <w:r w:rsidR="006F2B15" w:rsidRPr="001433A9">
        <w:rPr>
          <w:i/>
          <w:noProof/>
          <w:color w:val="000000" w:themeColor="text1"/>
        </w:rPr>
        <w:t>Journal of Autism and Developmental Disorders</w:t>
      </w:r>
      <w:r w:rsidRPr="001433A9">
        <w:rPr>
          <w:noProof/>
          <w:color w:val="000000" w:themeColor="text1"/>
        </w:rPr>
        <w:t>,</w:t>
      </w:r>
      <w:r w:rsidRPr="001433A9">
        <w:rPr>
          <w:i/>
          <w:noProof/>
          <w:color w:val="000000" w:themeColor="text1"/>
        </w:rPr>
        <w:t xml:space="preserve"> 40</w:t>
      </w:r>
      <w:r w:rsidRPr="001433A9">
        <w:rPr>
          <w:noProof/>
          <w:color w:val="000000" w:themeColor="text1"/>
        </w:rPr>
        <w:t xml:space="preserve">(10), 1259-1273. https://doi.org/10.1007/s10803-010-0983-1 </w:t>
      </w:r>
    </w:p>
    <w:p w14:paraId="4CE10A8D" w14:textId="77777777" w:rsidR="00C82253" w:rsidRPr="001433A9" w:rsidRDefault="00C82253" w:rsidP="00BB74E6">
      <w:pPr>
        <w:pStyle w:val="EndNoteBibliography"/>
        <w:ind w:left="720" w:hanging="720"/>
        <w:rPr>
          <w:noProof/>
          <w:color w:val="000000" w:themeColor="text1"/>
          <w:lang w:val="fr-FR"/>
        </w:rPr>
      </w:pPr>
      <w:r w:rsidRPr="001433A9">
        <w:rPr>
          <w:noProof/>
          <w:color w:val="000000" w:themeColor="text1"/>
        </w:rPr>
        <w:t xml:space="preserve">Flanagin, A., Frey, T., Christiansen, S. L., &amp; Committee, A. M. o. S. (2021). Updated guidance on the reporting of race and ethnicity in medical and science journals. </w:t>
      </w:r>
      <w:r w:rsidRPr="001433A9">
        <w:rPr>
          <w:i/>
          <w:noProof/>
          <w:color w:val="000000" w:themeColor="text1"/>
          <w:lang w:val="fr-FR"/>
        </w:rPr>
        <w:t>Jama</w:t>
      </w:r>
      <w:r w:rsidRPr="001433A9">
        <w:rPr>
          <w:noProof/>
          <w:color w:val="000000" w:themeColor="text1"/>
          <w:lang w:val="fr-FR"/>
        </w:rPr>
        <w:t>,</w:t>
      </w:r>
      <w:r w:rsidRPr="001433A9">
        <w:rPr>
          <w:i/>
          <w:noProof/>
          <w:color w:val="000000" w:themeColor="text1"/>
          <w:lang w:val="fr-FR"/>
        </w:rPr>
        <w:t xml:space="preserve"> 326</w:t>
      </w:r>
      <w:r w:rsidRPr="001433A9">
        <w:rPr>
          <w:noProof/>
          <w:color w:val="000000" w:themeColor="text1"/>
          <w:lang w:val="fr-FR"/>
        </w:rPr>
        <w:t xml:space="preserve">(7), 621-627. https://doi.org/10.1001/jama.2021.13304 </w:t>
      </w:r>
    </w:p>
    <w:p w14:paraId="7419A531" w14:textId="77777777" w:rsidR="00141D33" w:rsidRPr="001433A9" w:rsidRDefault="00333BCE" w:rsidP="00BB74E6">
      <w:pPr>
        <w:pStyle w:val="EndNoteBibliography"/>
        <w:ind w:left="720" w:hanging="720"/>
        <w:rPr>
          <w:noProof/>
          <w:color w:val="000000" w:themeColor="text1"/>
          <w:lang w:val="fr-FR"/>
        </w:rPr>
      </w:pPr>
      <w:r w:rsidRPr="001433A9">
        <w:rPr>
          <w:noProof/>
          <w:color w:val="000000" w:themeColor="text1"/>
          <w:lang w:val="fr-FR"/>
        </w:rPr>
        <w:t>*</w:t>
      </w:r>
      <w:r w:rsidR="00C82253" w:rsidRPr="001433A9">
        <w:rPr>
          <w:noProof/>
          <w:color w:val="000000" w:themeColor="text1"/>
          <w:lang w:val="fr-FR"/>
        </w:rPr>
        <w:t>Gagnon, D., Zeribi, A., Douard, É., Courchesne, V., Rodríguez-Herreros, B., Huguet, G.,</w:t>
      </w:r>
    </w:p>
    <w:p w14:paraId="09B13FB5" w14:textId="77777777" w:rsidR="00FD1F9C" w:rsidRPr="001433A9" w:rsidRDefault="00C82253" w:rsidP="00141D33">
      <w:pPr>
        <w:pStyle w:val="EndNoteBibliography"/>
        <w:ind w:left="720"/>
        <w:rPr>
          <w:noProof/>
          <w:color w:val="000000" w:themeColor="text1"/>
        </w:rPr>
      </w:pPr>
      <w:r w:rsidRPr="001433A9">
        <w:rPr>
          <w:noProof/>
          <w:color w:val="000000" w:themeColor="text1"/>
          <w:lang w:val="fr-FR"/>
        </w:rPr>
        <w:t xml:space="preserve">Jacquemont, S., Loum, M. A., &amp; Mottron, L. (2021). </w:t>
      </w:r>
      <w:r w:rsidRPr="001433A9">
        <w:rPr>
          <w:noProof/>
          <w:color w:val="000000" w:themeColor="text1"/>
        </w:rPr>
        <w:t>Bayonet-shaped language</w:t>
      </w:r>
    </w:p>
    <w:p w14:paraId="705E8EF9" w14:textId="698CF879" w:rsidR="00C82253" w:rsidRPr="001433A9" w:rsidRDefault="00C82253" w:rsidP="00141D33">
      <w:pPr>
        <w:pStyle w:val="EndNoteBibliography"/>
        <w:ind w:left="720"/>
        <w:rPr>
          <w:noProof/>
          <w:color w:val="000000" w:themeColor="text1"/>
        </w:rPr>
      </w:pPr>
      <w:r w:rsidRPr="001433A9">
        <w:rPr>
          <w:noProof/>
          <w:color w:val="000000" w:themeColor="text1"/>
        </w:rPr>
        <w:t xml:space="preserve">development in autism with regression: a retrospective study. </w:t>
      </w:r>
      <w:r w:rsidRPr="001433A9">
        <w:rPr>
          <w:i/>
          <w:noProof/>
          <w:color w:val="000000" w:themeColor="text1"/>
        </w:rPr>
        <w:t xml:space="preserve">Molecular </w:t>
      </w:r>
      <w:r w:rsidR="00FD1F9C" w:rsidRPr="001433A9">
        <w:rPr>
          <w:i/>
          <w:noProof/>
          <w:color w:val="000000" w:themeColor="text1"/>
        </w:rPr>
        <w:t>A</w:t>
      </w:r>
      <w:r w:rsidRPr="001433A9">
        <w:rPr>
          <w:i/>
          <w:noProof/>
          <w:color w:val="000000" w:themeColor="text1"/>
        </w:rPr>
        <w:t>utism</w:t>
      </w:r>
      <w:r w:rsidRPr="001433A9">
        <w:rPr>
          <w:noProof/>
          <w:color w:val="000000" w:themeColor="text1"/>
        </w:rPr>
        <w:t>,</w:t>
      </w:r>
      <w:r w:rsidRPr="001433A9">
        <w:rPr>
          <w:i/>
          <w:noProof/>
          <w:color w:val="000000" w:themeColor="text1"/>
        </w:rPr>
        <w:t xml:space="preserve"> 12</w:t>
      </w:r>
      <w:r w:rsidRPr="001433A9">
        <w:rPr>
          <w:noProof/>
          <w:color w:val="000000" w:themeColor="text1"/>
        </w:rPr>
        <w:t xml:space="preserve">(1), 1-12. https://doi.org/10.1186/s13229-021-00444-8 </w:t>
      </w:r>
    </w:p>
    <w:p w14:paraId="1EB69A18" w14:textId="6F114948" w:rsidR="0043630D" w:rsidRPr="001433A9" w:rsidRDefault="00C82253" w:rsidP="00BB74E6">
      <w:pPr>
        <w:pStyle w:val="EndNoteBibliography"/>
        <w:ind w:left="720" w:hanging="720"/>
        <w:rPr>
          <w:noProof/>
          <w:color w:val="000000" w:themeColor="text1"/>
        </w:rPr>
      </w:pPr>
      <w:r w:rsidRPr="001433A9">
        <w:rPr>
          <w:noProof/>
          <w:color w:val="000000" w:themeColor="text1"/>
        </w:rPr>
        <w:t xml:space="preserve">George, S., Duran, N., &amp; Norris, K. (2014). A systematic review of barriers and facilitators to minority research participation among African Americans, Latinos, Asian Americans, and Pacific Islanders. </w:t>
      </w:r>
      <w:r w:rsidRPr="001433A9">
        <w:rPr>
          <w:i/>
          <w:noProof/>
          <w:color w:val="000000" w:themeColor="text1"/>
        </w:rPr>
        <w:t xml:space="preserve">American </w:t>
      </w:r>
      <w:r w:rsidR="00FD1F9C" w:rsidRPr="001433A9">
        <w:rPr>
          <w:i/>
          <w:noProof/>
          <w:color w:val="000000" w:themeColor="text1"/>
        </w:rPr>
        <w:t>J</w:t>
      </w:r>
      <w:r w:rsidRPr="001433A9">
        <w:rPr>
          <w:i/>
          <w:noProof/>
          <w:color w:val="000000" w:themeColor="text1"/>
        </w:rPr>
        <w:t xml:space="preserve">ournal of </w:t>
      </w:r>
      <w:r w:rsidR="00FD1F9C" w:rsidRPr="001433A9">
        <w:rPr>
          <w:i/>
          <w:noProof/>
          <w:color w:val="000000" w:themeColor="text1"/>
        </w:rPr>
        <w:t>P</w:t>
      </w:r>
      <w:r w:rsidRPr="001433A9">
        <w:rPr>
          <w:i/>
          <w:noProof/>
          <w:color w:val="000000" w:themeColor="text1"/>
        </w:rPr>
        <w:t xml:space="preserve">ublic </w:t>
      </w:r>
      <w:r w:rsidR="00FD1F9C" w:rsidRPr="001433A9">
        <w:rPr>
          <w:i/>
          <w:noProof/>
          <w:color w:val="000000" w:themeColor="text1"/>
        </w:rPr>
        <w:t>H</w:t>
      </w:r>
      <w:r w:rsidRPr="001433A9">
        <w:rPr>
          <w:i/>
          <w:noProof/>
          <w:color w:val="000000" w:themeColor="text1"/>
        </w:rPr>
        <w:t>ealth</w:t>
      </w:r>
      <w:r w:rsidRPr="001433A9">
        <w:rPr>
          <w:noProof/>
          <w:color w:val="000000" w:themeColor="text1"/>
        </w:rPr>
        <w:t>,</w:t>
      </w:r>
      <w:r w:rsidRPr="001433A9">
        <w:rPr>
          <w:i/>
          <w:noProof/>
          <w:color w:val="000000" w:themeColor="text1"/>
        </w:rPr>
        <w:t xml:space="preserve"> 104</w:t>
      </w:r>
      <w:r w:rsidRPr="001433A9">
        <w:rPr>
          <w:noProof/>
          <w:color w:val="000000" w:themeColor="text1"/>
        </w:rPr>
        <w:t>(2), e16-e31.</w:t>
      </w:r>
    </w:p>
    <w:p w14:paraId="769FD8CB" w14:textId="2AD44C51" w:rsidR="00C82253" w:rsidRPr="001433A9" w:rsidRDefault="00C82253" w:rsidP="0043630D">
      <w:pPr>
        <w:pStyle w:val="EndNoteBibliography"/>
        <w:ind w:left="720"/>
        <w:rPr>
          <w:noProof/>
          <w:color w:val="000000" w:themeColor="text1"/>
        </w:rPr>
      </w:pPr>
      <w:r w:rsidRPr="001433A9">
        <w:rPr>
          <w:noProof/>
          <w:color w:val="000000" w:themeColor="text1"/>
        </w:rPr>
        <w:t xml:space="preserve">https://doi.org/10.2105/AJPH.2013.301706 </w:t>
      </w:r>
    </w:p>
    <w:p w14:paraId="003AC100" w14:textId="77777777" w:rsidR="00FD1130" w:rsidRPr="001433A9" w:rsidRDefault="00FD1130" w:rsidP="00FD1130">
      <w:pPr>
        <w:pStyle w:val="EndNoteBibliography"/>
        <w:rPr>
          <w:bCs/>
          <w:color w:val="000000" w:themeColor="text1"/>
        </w:rPr>
      </w:pPr>
      <w:r w:rsidRPr="001433A9">
        <w:rPr>
          <w:bCs/>
          <w:color w:val="000000" w:themeColor="text1"/>
          <w:lang w:val="es-ES"/>
        </w:rPr>
        <w:t xml:space="preserve">*Girolamo, T., &amp; Rice, M. L. (2022). </w:t>
      </w:r>
      <w:r w:rsidRPr="001433A9">
        <w:rPr>
          <w:bCs/>
          <w:color w:val="000000" w:themeColor="text1"/>
        </w:rPr>
        <w:t xml:space="preserve">Language impairment in autistic adolescents and young  </w:t>
      </w:r>
    </w:p>
    <w:p w14:paraId="690ABE57" w14:textId="77777777" w:rsidR="00FD1130" w:rsidRPr="001433A9" w:rsidRDefault="00FD1130" w:rsidP="00FD1130">
      <w:pPr>
        <w:pStyle w:val="EndNoteBibliography"/>
        <w:ind w:firstLine="720"/>
        <w:rPr>
          <w:bCs/>
          <w:i/>
          <w:iCs/>
          <w:color w:val="000000" w:themeColor="text1"/>
        </w:rPr>
      </w:pPr>
      <w:r w:rsidRPr="001433A9">
        <w:rPr>
          <w:bCs/>
          <w:color w:val="000000" w:themeColor="text1"/>
        </w:rPr>
        <w:t xml:space="preserve">adults. </w:t>
      </w:r>
      <w:r w:rsidRPr="001433A9">
        <w:rPr>
          <w:bCs/>
          <w:i/>
          <w:iCs/>
          <w:color w:val="000000" w:themeColor="text1"/>
        </w:rPr>
        <w:t xml:space="preserve">Journal of Speech, Language, and Hearing Research. </w:t>
      </w:r>
    </w:p>
    <w:p w14:paraId="52D99520" w14:textId="79B24381" w:rsidR="00FD1130" w:rsidRPr="001433A9" w:rsidRDefault="00FD1130" w:rsidP="00FD1130">
      <w:pPr>
        <w:pStyle w:val="EndNoteBibliography"/>
        <w:ind w:firstLine="720"/>
        <w:rPr>
          <w:noProof/>
          <w:color w:val="000000" w:themeColor="text1"/>
        </w:rPr>
      </w:pPr>
      <w:r w:rsidRPr="001433A9">
        <w:rPr>
          <w:bCs/>
          <w:color w:val="000000" w:themeColor="text1"/>
        </w:rPr>
        <w:t>https://doi.org/10.1044/2022_JSLHR-21-00517</w:t>
      </w:r>
    </w:p>
    <w:p w14:paraId="2FAD59A7" w14:textId="3794061E" w:rsidR="00CB7A01" w:rsidRPr="001433A9" w:rsidRDefault="00C82253" w:rsidP="001E07F1">
      <w:pPr>
        <w:pStyle w:val="ListParagraph"/>
        <w:spacing w:after="0" w:line="240" w:lineRule="auto"/>
        <w:ind w:left="0"/>
        <w:rPr>
          <w:rFonts w:ascii="Times New Roman" w:hAnsi="Times New Roman" w:cs="Times New Roman"/>
          <w:noProof/>
          <w:color w:val="000000" w:themeColor="text1"/>
          <w:sz w:val="24"/>
          <w:szCs w:val="24"/>
        </w:rPr>
      </w:pPr>
      <w:r w:rsidRPr="001433A9">
        <w:rPr>
          <w:rFonts w:ascii="Times New Roman" w:hAnsi="Times New Roman" w:cs="Times New Roman"/>
          <w:noProof/>
          <w:color w:val="000000" w:themeColor="text1"/>
          <w:sz w:val="24"/>
          <w:szCs w:val="24"/>
        </w:rPr>
        <w:t>Girolamo, T., Castro, N., Hendricks, A. E., Ghali, S., &amp; Eigsti, I. M. (</w:t>
      </w:r>
      <w:r w:rsidR="000C4AED" w:rsidRPr="001433A9">
        <w:rPr>
          <w:rFonts w:ascii="Times New Roman" w:hAnsi="Times New Roman" w:cs="Times New Roman"/>
          <w:noProof/>
          <w:color w:val="000000" w:themeColor="text1"/>
          <w:sz w:val="24"/>
          <w:szCs w:val="24"/>
        </w:rPr>
        <w:t>2022</w:t>
      </w:r>
      <w:r w:rsidR="00FD1130" w:rsidRPr="001433A9">
        <w:rPr>
          <w:rFonts w:ascii="Times New Roman" w:hAnsi="Times New Roman" w:cs="Times New Roman"/>
          <w:noProof/>
          <w:color w:val="000000" w:themeColor="text1"/>
          <w:sz w:val="24"/>
          <w:szCs w:val="24"/>
        </w:rPr>
        <w:t>a</w:t>
      </w:r>
      <w:r w:rsidRPr="001433A9">
        <w:rPr>
          <w:rFonts w:ascii="Times New Roman" w:hAnsi="Times New Roman" w:cs="Times New Roman"/>
          <w:noProof/>
          <w:color w:val="000000" w:themeColor="text1"/>
          <w:sz w:val="24"/>
          <w:szCs w:val="24"/>
        </w:rPr>
        <w:t xml:space="preserve">). </w:t>
      </w:r>
      <w:r w:rsidR="00CB7A01" w:rsidRPr="001433A9">
        <w:rPr>
          <w:rFonts w:ascii="Times New Roman" w:hAnsi="Times New Roman" w:cs="Times New Roman"/>
          <w:noProof/>
          <w:color w:val="000000" w:themeColor="text1"/>
          <w:sz w:val="24"/>
          <w:szCs w:val="24"/>
        </w:rPr>
        <w:t xml:space="preserve">Implementation </w:t>
      </w:r>
    </w:p>
    <w:p w14:paraId="1C93B7F0" w14:textId="77777777" w:rsidR="002A70E9" w:rsidRPr="001433A9" w:rsidRDefault="00CB7A01" w:rsidP="00CB7A01">
      <w:pPr>
        <w:pStyle w:val="ListParagraph"/>
        <w:spacing w:after="0" w:line="240" w:lineRule="auto"/>
        <w:rPr>
          <w:rFonts w:ascii="Times New Roman" w:hAnsi="Times New Roman" w:cs="Times New Roman"/>
          <w:noProof/>
          <w:color w:val="000000" w:themeColor="text1"/>
          <w:sz w:val="24"/>
          <w:szCs w:val="24"/>
        </w:rPr>
      </w:pPr>
      <w:r w:rsidRPr="001433A9">
        <w:rPr>
          <w:rFonts w:ascii="Times New Roman" w:hAnsi="Times New Roman" w:cs="Times New Roman"/>
          <w:noProof/>
          <w:color w:val="000000" w:themeColor="text1"/>
          <w:sz w:val="24"/>
          <w:szCs w:val="24"/>
        </w:rPr>
        <w:t>of o</w:t>
      </w:r>
      <w:r w:rsidR="00C82253" w:rsidRPr="001433A9">
        <w:rPr>
          <w:rFonts w:ascii="Times New Roman" w:hAnsi="Times New Roman" w:cs="Times New Roman"/>
          <w:noProof/>
          <w:color w:val="000000" w:themeColor="text1"/>
          <w:sz w:val="24"/>
          <w:szCs w:val="24"/>
        </w:rPr>
        <w:t>pen science</w:t>
      </w:r>
      <w:r w:rsidRPr="001433A9">
        <w:rPr>
          <w:rFonts w:ascii="Times New Roman" w:hAnsi="Times New Roman" w:cs="Times New Roman"/>
          <w:noProof/>
          <w:color w:val="000000" w:themeColor="text1"/>
          <w:sz w:val="24"/>
          <w:szCs w:val="24"/>
        </w:rPr>
        <w:t xml:space="preserve"> practices in communication sciences and disorders resarch with Black,</w:t>
      </w:r>
    </w:p>
    <w:p w14:paraId="138CE3A5" w14:textId="6A042FA0" w:rsidR="001E07F1" w:rsidRPr="001433A9" w:rsidRDefault="00CB7A01" w:rsidP="00CB7A01">
      <w:pPr>
        <w:pStyle w:val="ListParagraph"/>
        <w:spacing w:after="0" w:line="240" w:lineRule="auto"/>
        <w:rPr>
          <w:rFonts w:ascii="Times New Roman" w:hAnsi="Times New Roman" w:cs="Times New Roman"/>
          <w:color w:val="000000" w:themeColor="text1"/>
          <w:sz w:val="24"/>
          <w:szCs w:val="24"/>
          <w:shd w:val="clear" w:color="auto" w:fill="FFFFFF"/>
        </w:rPr>
      </w:pPr>
      <w:r w:rsidRPr="001433A9">
        <w:rPr>
          <w:rFonts w:ascii="Times New Roman" w:hAnsi="Times New Roman" w:cs="Times New Roman"/>
          <w:noProof/>
          <w:color w:val="000000" w:themeColor="text1"/>
          <w:sz w:val="24"/>
          <w:szCs w:val="24"/>
        </w:rPr>
        <w:t>Indigenous, and People of Color</w:t>
      </w:r>
      <w:r w:rsidR="00C82253" w:rsidRPr="001433A9">
        <w:rPr>
          <w:rFonts w:ascii="Times New Roman" w:hAnsi="Times New Roman" w:cs="Times New Roman"/>
          <w:noProof/>
          <w:color w:val="000000" w:themeColor="text1"/>
          <w:sz w:val="24"/>
          <w:szCs w:val="24"/>
        </w:rPr>
        <w:t xml:space="preserve">. </w:t>
      </w:r>
      <w:r w:rsidR="00C82253" w:rsidRPr="001433A9">
        <w:rPr>
          <w:rFonts w:ascii="Times New Roman" w:hAnsi="Times New Roman" w:cs="Times New Roman"/>
          <w:i/>
          <w:noProof/>
          <w:color w:val="000000" w:themeColor="text1"/>
          <w:sz w:val="24"/>
          <w:szCs w:val="24"/>
        </w:rPr>
        <w:t>Journal of Speech, Language &amp; Hearing Research</w:t>
      </w:r>
      <w:r w:rsidR="00C82253" w:rsidRPr="001433A9">
        <w:rPr>
          <w:rFonts w:ascii="Times New Roman" w:hAnsi="Times New Roman" w:cs="Times New Roman"/>
          <w:noProof/>
          <w:color w:val="000000" w:themeColor="text1"/>
          <w:sz w:val="24"/>
          <w:szCs w:val="24"/>
        </w:rPr>
        <w:t xml:space="preserve">. </w:t>
      </w:r>
      <w:r w:rsidR="00FD1130" w:rsidRPr="001433A9">
        <w:rPr>
          <w:rFonts w:ascii="Times New Roman" w:hAnsi="Times New Roman" w:cs="Times New Roman"/>
          <w:noProof/>
          <w:color w:val="000000" w:themeColor="text1"/>
          <w:sz w:val="24"/>
          <w:szCs w:val="24"/>
        </w:rPr>
        <w:t>https://doi.org/</w:t>
      </w:r>
      <w:r w:rsidR="00FD1130" w:rsidRPr="001433A9">
        <w:rPr>
          <w:rFonts w:ascii="Times New Roman" w:hAnsi="Times New Roman" w:cs="Times New Roman"/>
          <w:color w:val="000000" w:themeColor="text1"/>
          <w:sz w:val="24"/>
          <w:szCs w:val="24"/>
          <w:shd w:val="clear" w:color="auto" w:fill="FFFFFF"/>
        </w:rPr>
        <w:t>10.1044/2022_JSLHR-22-00272</w:t>
      </w:r>
    </w:p>
    <w:p w14:paraId="5A393B8E" w14:textId="3D78E125" w:rsidR="00FD1130" w:rsidRPr="001433A9" w:rsidRDefault="00FD1130" w:rsidP="00FD1130">
      <w:pPr>
        <w:pStyle w:val="ListParagraph"/>
        <w:spacing w:after="0" w:line="240" w:lineRule="auto"/>
        <w:ind w:left="0"/>
        <w:rPr>
          <w:rFonts w:ascii="Times New Roman" w:hAnsi="Times New Roman" w:cs="Times New Roman"/>
          <w:color w:val="000000" w:themeColor="text1"/>
          <w:sz w:val="24"/>
          <w:szCs w:val="24"/>
        </w:rPr>
      </w:pPr>
      <w:r w:rsidRPr="001433A9">
        <w:rPr>
          <w:rFonts w:ascii="Times New Roman" w:hAnsi="Times New Roman" w:cs="Times New Roman"/>
          <w:color w:val="000000" w:themeColor="text1"/>
          <w:sz w:val="24"/>
          <w:szCs w:val="24"/>
          <w:lang w:val="es-ES"/>
        </w:rPr>
        <w:t>Girolamo, T., Ghali, S., Campos, I., &amp; Ford, A. (2022</w:t>
      </w:r>
      <w:r w:rsidR="00BA10A0" w:rsidRPr="001433A9">
        <w:rPr>
          <w:rFonts w:ascii="Times New Roman" w:hAnsi="Times New Roman" w:cs="Times New Roman"/>
          <w:color w:val="000000" w:themeColor="text1"/>
          <w:sz w:val="24"/>
          <w:szCs w:val="24"/>
          <w:lang w:val="es-ES"/>
        </w:rPr>
        <w:t>b</w:t>
      </w:r>
      <w:r w:rsidRPr="001433A9">
        <w:rPr>
          <w:rFonts w:ascii="Times New Roman" w:hAnsi="Times New Roman" w:cs="Times New Roman"/>
          <w:color w:val="000000" w:themeColor="text1"/>
          <w:sz w:val="24"/>
          <w:szCs w:val="24"/>
          <w:lang w:val="es-ES"/>
        </w:rPr>
        <w:t xml:space="preserve">). </w:t>
      </w:r>
      <w:r w:rsidRPr="001433A9">
        <w:rPr>
          <w:rFonts w:ascii="Times New Roman" w:hAnsi="Times New Roman" w:cs="Times New Roman"/>
          <w:color w:val="000000" w:themeColor="text1"/>
          <w:sz w:val="24"/>
          <w:szCs w:val="24"/>
        </w:rPr>
        <w:t>Interpretation and use of language</w:t>
      </w:r>
    </w:p>
    <w:p w14:paraId="32CE7307" w14:textId="7A82B221" w:rsidR="00FD1130" w:rsidRPr="001433A9" w:rsidRDefault="00FD1130" w:rsidP="00FD1130">
      <w:pPr>
        <w:ind w:left="720"/>
        <w:rPr>
          <w:color w:val="000000" w:themeColor="text1"/>
        </w:rPr>
      </w:pPr>
      <w:r w:rsidRPr="001433A9">
        <w:rPr>
          <w:color w:val="000000" w:themeColor="text1"/>
        </w:rPr>
        <w:t xml:space="preserve">assessments for diverse school-age individuals. </w:t>
      </w:r>
      <w:r w:rsidRPr="001433A9">
        <w:rPr>
          <w:i/>
          <w:iCs/>
          <w:color w:val="000000" w:themeColor="text1"/>
        </w:rPr>
        <w:t xml:space="preserve">Perspectives of the ASHA Special Interest Groups, </w:t>
      </w:r>
      <w:r w:rsidRPr="001433A9">
        <w:rPr>
          <w:color w:val="000000" w:themeColor="text1"/>
        </w:rPr>
        <w:t>1-14</w:t>
      </w:r>
      <w:r w:rsidRPr="001433A9">
        <w:rPr>
          <w:i/>
          <w:iCs/>
          <w:color w:val="000000" w:themeColor="text1"/>
        </w:rPr>
        <w:t xml:space="preserve">. </w:t>
      </w:r>
      <w:r w:rsidRPr="001433A9">
        <w:rPr>
          <w:color w:val="000000" w:themeColor="text1"/>
        </w:rPr>
        <w:t>https://doi.org/10.1044/2022_PERSP-21-00322</w:t>
      </w:r>
    </w:p>
    <w:p w14:paraId="17948DC8" w14:textId="77777777" w:rsidR="00BA10A0" w:rsidRPr="001433A9" w:rsidRDefault="00C82253" w:rsidP="00BB74E6">
      <w:pPr>
        <w:pStyle w:val="EndNoteBibliography"/>
        <w:ind w:left="720" w:hanging="720"/>
        <w:rPr>
          <w:noProof/>
          <w:color w:val="000000" w:themeColor="text1"/>
        </w:rPr>
      </w:pPr>
      <w:r w:rsidRPr="001433A9">
        <w:rPr>
          <w:noProof/>
          <w:color w:val="000000" w:themeColor="text1"/>
        </w:rPr>
        <w:t>Girolamo, T., Parker, T. C., &amp; Eigsti, I.-M. (</w:t>
      </w:r>
      <w:r w:rsidR="006A517C" w:rsidRPr="001433A9">
        <w:rPr>
          <w:noProof/>
          <w:color w:val="000000" w:themeColor="text1"/>
        </w:rPr>
        <w:t>2022</w:t>
      </w:r>
      <w:r w:rsidR="00FD1130" w:rsidRPr="001433A9">
        <w:rPr>
          <w:noProof/>
          <w:color w:val="000000" w:themeColor="text1"/>
        </w:rPr>
        <w:t>c</w:t>
      </w:r>
      <w:r w:rsidRPr="001433A9">
        <w:rPr>
          <w:noProof/>
          <w:color w:val="000000" w:themeColor="text1"/>
        </w:rPr>
        <w:t xml:space="preserve">). Incorporating DisCrit theory to combat systematic exclusion of BIPOC in clinical neuroscience. </w:t>
      </w:r>
      <w:r w:rsidRPr="001433A9">
        <w:rPr>
          <w:i/>
          <w:noProof/>
          <w:color w:val="000000" w:themeColor="text1"/>
        </w:rPr>
        <w:t>Frontiers of Neuroscience,</w:t>
      </w:r>
      <w:r w:rsidRPr="001433A9">
        <w:rPr>
          <w:noProof/>
          <w:color w:val="000000" w:themeColor="text1"/>
        </w:rPr>
        <w:t>,</w:t>
      </w:r>
      <w:r w:rsidRPr="001433A9">
        <w:rPr>
          <w:i/>
          <w:noProof/>
          <w:color w:val="000000" w:themeColor="text1"/>
        </w:rPr>
        <w:t xml:space="preserve"> 8</w:t>
      </w:r>
      <w:r w:rsidRPr="001433A9">
        <w:rPr>
          <w:noProof/>
          <w:color w:val="000000" w:themeColor="text1"/>
        </w:rPr>
        <w:t>.</w:t>
      </w:r>
    </w:p>
    <w:p w14:paraId="3AE5A69C" w14:textId="3910031B" w:rsidR="00C82253" w:rsidRPr="001433A9" w:rsidRDefault="00C82253" w:rsidP="00BA10A0">
      <w:pPr>
        <w:pStyle w:val="EndNoteBibliography"/>
        <w:ind w:left="720"/>
        <w:rPr>
          <w:noProof/>
          <w:color w:val="000000" w:themeColor="text1"/>
        </w:rPr>
      </w:pPr>
      <w:r w:rsidRPr="001433A9">
        <w:rPr>
          <w:noProof/>
          <w:color w:val="000000" w:themeColor="text1"/>
        </w:rPr>
        <w:t xml:space="preserve">https://doi.org/10.3389/fnins.2022.988092 </w:t>
      </w:r>
    </w:p>
    <w:p w14:paraId="0EA633B1" w14:textId="77777777" w:rsidR="00602F38" w:rsidRPr="001433A9" w:rsidRDefault="00191AC9"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Girolamo, T. M., Rice, M. L., &amp; Warren, S. F. (2020). Assessment of language abilities in</w:t>
      </w:r>
    </w:p>
    <w:p w14:paraId="5761AFA2" w14:textId="1919D60F" w:rsidR="00C82253" w:rsidRPr="001433A9" w:rsidRDefault="00C82253" w:rsidP="00602F38">
      <w:pPr>
        <w:pStyle w:val="EndNoteBibliography"/>
        <w:ind w:left="720"/>
        <w:rPr>
          <w:noProof/>
          <w:color w:val="000000" w:themeColor="text1"/>
        </w:rPr>
      </w:pPr>
      <w:r w:rsidRPr="001433A9">
        <w:rPr>
          <w:noProof/>
          <w:color w:val="000000" w:themeColor="text1"/>
        </w:rPr>
        <w:t xml:space="preserve">minority adolescents and young adults with Autism Spectrum Disorder and extensive special education needs: A pilot study. </w:t>
      </w:r>
      <w:r w:rsidRPr="001433A9">
        <w:rPr>
          <w:i/>
          <w:noProof/>
          <w:color w:val="000000" w:themeColor="text1"/>
        </w:rPr>
        <w:t>American Journal of Speech-Language Pathology</w:t>
      </w:r>
      <w:r w:rsidRPr="001433A9">
        <w:rPr>
          <w:noProof/>
          <w:color w:val="000000" w:themeColor="text1"/>
        </w:rPr>
        <w:t>,</w:t>
      </w:r>
      <w:r w:rsidRPr="001433A9">
        <w:rPr>
          <w:i/>
          <w:noProof/>
          <w:color w:val="000000" w:themeColor="text1"/>
        </w:rPr>
        <w:t xml:space="preserve"> 29</w:t>
      </w:r>
      <w:r w:rsidRPr="001433A9">
        <w:rPr>
          <w:noProof/>
          <w:color w:val="000000" w:themeColor="text1"/>
        </w:rPr>
        <w:t xml:space="preserve">(2), 804-818. https://doi.org/10.1044/2020_AJSLP-19-00036 </w:t>
      </w:r>
    </w:p>
    <w:p w14:paraId="7CE25A5C" w14:textId="77777777" w:rsidR="00F81962" w:rsidRPr="001433A9" w:rsidRDefault="00333BCE"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Haebig, E., &amp; Sterling, A. (2017). Investigating the receptive-expressive vocabulary profile in</w:t>
      </w:r>
    </w:p>
    <w:p w14:paraId="599BC406" w14:textId="12B16F90" w:rsidR="00C82253" w:rsidRPr="001433A9" w:rsidRDefault="00C82253" w:rsidP="00F81962">
      <w:pPr>
        <w:pStyle w:val="EndNoteBibliography"/>
        <w:ind w:left="720"/>
        <w:rPr>
          <w:noProof/>
          <w:color w:val="000000" w:themeColor="text1"/>
        </w:rPr>
      </w:pPr>
      <w:r w:rsidRPr="001433A9">
        <w:rPr>
          <w:noProof/>
          <w:color w:val="000000" w:themeColor="text1"/>
        </w:rPr>
        <w:t xml:space="preserve">children with idiopathic ASD and comorbid ASD and fragile X syndrome. </w:t>
      </w:r>
      <w:r w:rsidR="006F2B15" w:rsidRPr="001433A9">
        <w:rPr>
          <w:i/>
          <w:noProof/>
          <w:color w:val="000000" w:themeColor="text1"/>
        </w:rPr>
        <w:t>Journal of Autism and Developmental Disorders</w:t>
      </w:r>
      <w:r w:rsidRPr="001433A9">
        <w:rPr>
          <w:noProof/>
          <w:color w:val="000000" w:themeColor="text1"/>
        </w:rPr>
        <w:t>,</w:t>
      </w:r>
      <w:r w:rsidRPr="001433A9">
        <w:rPr>
          <w:i/>
          <w:noProof/>
          <w:color w:val="000000" w:themeColor="text1"/>
        </w:rPr>
        <w:t xml:space="preserve"> 47</w:t>
      </w:r>
      <w:r w:rsidRPr="001433A9">
        <w:rPr>
          <w:noProof/>
          <w:color w:val="000000" w:themeColor="text1"/>
        </w:rPr>
        <w:t xml:space="preserve">(2), 260-274. https://doi.org/10.1007/s10803-016-2921-3 </w:t>
      </w:r>
    </w:p>
    <w:p w14:paraId="4E684CAC" w14:textId="77777777" w:rsidR="00C77796" w:rsidRPr="001433A9" w:rsidRDefault="00926183"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Hart, C. M., &amp; Curtin, S. (2021). Trajectories of vocabulary development in children with</w:t>
      </w:r>
    </w:p>
    <w:p w14:paraId="47BC02C8" w14:textId="12524EE9" w:rsidR="00C82253" w:rsidRPr="001433A9" w:rsidRDefault="00C82253" w:rsidP="00C77796">
      <w:pPr>
        <w:pStyle w:val="EndNoteBibliography"/>
        <w:ind w:left="720"/>
        <w:rPr>
          <w:noProof/>
          <w:color w:val="000000" w:themeColor="text1"/>
        </w:rPr>
      </w:pPr>
      <w:r w:rsidRPr="001433A9">
        <w:rPr>
          <w:noProof/>
          <w:color w:val="000000" w:themeColor="text1"/>
        </w:rPr>
        <w:t xml:space="preserve">Autism Spectrum Disorder across multiple measures. </w:t>
      </w:r>
      <w:r w:rsidR="006F2B15" w:rsidRPr="001433A9">
        <w:rPr>
          <w:i/>
          <w:noProof/>
          <w:color w:val="000000" w:themeColor="text1"/>
        </w:rPr>
        <w:t>Journal of Autism and Developmental Disorders</w:t>
      </w:r>
      <w:r w:rsidRPr="001433A9">
        <w:rPr>
          <w:noProof/>
          <w:color w:val="000000" w:themeColor="text1"/>
        </w:rPr>
        <w:t xml:space="preserve">, 1-16. https://doi.org/10.1007/s10803-021-05379-w </w:t>
      </w:r>
    </w:p>
    <w:p w14:paraId="12C37C04" w14:textId="2D4C9845" w:rsidR="00C82253" w:rsidRPr="001433A9" w:rsidRDefault="00AA17FB"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Hartley, S. L., Buckendorf, G. R., Haines, K., Hall, T. A., &amp; Sikora, D. M. (2008). The Oral and Written Language Scales: Is it useful for older children with autism spectrum disorder? </w:t>
      </w:r>
      <w:r w:rsidR="00C82253" w:rsidRPr="001433A9">
        <w:rPr>
          <w:i/>
          <w:noProof/>
          <w:color w:val="000000" w:themeColor="text1"/>
        </w:rPr>
        <w:t>Research in Autism Spectrum Disorders</w:t>
      </w:r>
      <w:r w:rsidR="00C82253" w:rsidRPr="001433A9">
        <w:rPr>
          <w:noProof/>
          <w:color w:val="000000" w:themeColor="text1"/>
        </w:rPr>
        <w:t>,</w:t>
      </w:r>
      <w:r w:rsidR="00C82253" w:rsidRPr="001433A9">
        <w:rPr>
          <w:i/>
          <w:noProof/>
          <w:color w:val="000000" w:themeColor="text1"/>
        </w:rPr>
        <w:t xml:space="preserve"> 2</w:t>
      </w:r>
      <w:r w:rsidR="00C82253" w:rsidRPr="001433A9">
        <w:rPr>
          <w:noProof/>
          <w:color w:val="000000" w:themeColor="text1"/>
        </w:rPr>
        <w:t xml:space="preserve">(1), 137-146. https://doi.org/10.1016/j.rasd.2007.04.003 </w:t>
      </w:r>
    </w:p>
    <w:p w14:paraId="70795242" w14:textId="77777777" w:rsidR="00C82253" w:rsidRPr="001433A9" w:rsidRDefault="00C82253" w:rsidP="00BB74E6">
      <w:pPr>
        <w:pStyle w:val="EndNoteBibliography"/>
        <w:ind w:left="720" w:hanging="720"/>
        <w:rPr>
          <w:noProof/>
          <w:color w:val="000000" w:themeColor="text1"/>
        </w:rPr>
      </w:pPr>
      <w:r w:rsidRPr="001433A9">
        <w:rPr>
          <w:noProof/>
          <w:color w:val="000000" w:themeColor="text1"/>
        </w:rPr>
        <w:t xml:space="preserve">Henrich, J., Heine, S. J., &amp; Norenzayan, A. (2010). The weirdest people in the world? </w:t>
      </w:r>
      <w:r w:rsidRPr="001433A9">
        <w:rPr>
          <w:i/>
          <w:noProof/>
          <w:color w:val="000000" w:themeColor="text1"/>
        </w:rPr>
        <w:t>Behavioral and Brain Sciences</w:t>
      </w:r>
      <w:r w:rsidRPr="001433A9">
        <w:rPr>
          <w:noProof/>
          <w:color w:val="000000" w:themeColor="text1"/>
        </w:rPr>
        <w:t>,</w:t>
      </w:r>
      <w:r w:rsidRPr="001433A9">
        <w:rPr>
          <w:i/>
          <w:noProof/>
          <w:color w:val="000000" w:themeColor="text1"/>
        </w:rPr>
        <w:t xml:space="preserve"> 33</w:t>
      </w:r>
      <w:r w:rsidRPr="001433A9">
        <w:rPr>
          <w:noProof/>
          <w:color w:val="000000" w:themeColor="text1"/>
        </w:rPr>
        <w:t xml:space="preserve">(2-3), 61-83. https://doi.org/10.1017/S0140525X0999152X </w:t>
      </w:r>
    </w:p>
    <w:p w14:paraId="79559FA4" w14:textId="77777777" w:rsidR="00C82253" w:rsidRPr="001433A9" w:rsidRDefault="00C82253" w:rsidP="00BB74E6">
      <w:pPr>
        <w:pStyle w:val="EndNoteBibliography"/>
        <w:ind w:left="720" w:hanging="720"/>
        <w:rPr>
          <w:noProof/>
          <w:color w:val="000000" w:themeColor="text1"/>
        </w:rPr>
      </w:pPr>
      <w:r w:rsidRPr="001433A9">
        <w:rPr>
          <w:noProof/>
          <w:color w:val="000000" w:themeColor="text1"/>
        </w:rPr>
        <w:t xml:space="preserve">Hollingshead, A. B. (1957). </w:t>
      </w:r>
      <w:r w:rsidRPr="001433A9">
        <w:rPr>
          <w:i/>
          <w:noProof/>
          <w:color w:val="000000" w:themeColor="text1"/>
        </w:rPr>
        <w:t>Two factor index of social position (Mimeographed)</w:t>
      </w:r>
      <w:r w:rsidRPr="001433A9">
        <w:rPr>
          <w:noProof/>
          <w:color w:val="000000" w:themeColor="text1"/>
        </w:rPr>
        <w:t xml:space="preserve">. </w:t>
      </w:r>
    </w:p>
    <w:p w14:paraId="64DA458C" w14:textId="77777777" w:rsidR="00C82253" w:rsidRPr="001433A9" w:rsidRDefault="00C82253" w:rsidP="00BB74E6">
      <w:pPr>
        <w:pStyle w:val="EndNoteBibliography"/>
        <w:ind w:left="720" w:hanging="720"/>
        <w:rPr>
          <w:noProof/>
          <w:color w:val="000000" w:themeColor="text1"/>
        </w:rPr>
      </w:pPr>
      <w:r w:rsidRPr="001433A9">
        <w:rPr>
          <w:noProof/>
          <w:color w:val="000000" w:themeColor="text1"/>
        </w:rPr>
        <w:lastRenderedPageBreak/>
        <w:t xml:space="preserve">Hollingshead, A. B. (1975). Four Factor Index of social status. In </w:t>
      </w:r>
      <w:r w:rsidRPr="001433A9">
        <w:rPr>
          <w:i/>
          <w:noProof/>
          <w:color w:val="000000" w:themeColor="text1"/>
        </w:rPr>
        <w:t>[Unpublished manuscript]</w:t>
      </w:r>
      <w:r w:rsidRPr="001433A9">
        <w:rPr>
          <w:noProof/>
          <w:color w:val="000000" w:themeColor="text1"/>
        </w:rPr>
        <w:t>.</w:t>
      </w:r>
    </w:p>
    <w:p w14:paraId="24AAE626" w14:textId="709F0688" w:rsidR="00C82253" w:rsidRPr="001433A9" w:rsidRDefault="006A517C"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Huang, T., &amp; Finestack, L. (2020). Comparing morphosyntactic profiles of children with developmental language disorder or language disorder associated with autism spectrum disorder. </w:t>
      </w:r>
      <w:r w:rsidR="00C82253" w:rsidRPr="001433A9">
        <w:rPr>
          <w:i/>
          <w:noProof/>
          <w:color w:val="000000" w:themeColor="text1"/>
        </w:rPr>
        <w:t>American Journal of Speech-Language Pathology</w:t>
      </w:r>
      <w:r w:rsidR="00C82253" w:rsidRPr="001433A9">
        <w:rPr>
          <w:noProof/>
          <w:color w:val="000000" w:themeColor="text1"/>
        </w:rPr>
        <w:t>,</w:t>
      </w:r>
      <w:r w:rsidR="00C82253" w:rsidRPr="001433A9">
        <w:rPr>
          <w:i/>
          <w:noProof/>
          <w:color w:val="000000" w:themeColor="text1"/>
        </w:rPr>
        <w:t xml:space="preserve"> 29</w:t>
      </w:r>
      <w:r w:rsidR="00C82253" w:rsidRPr="001433A9">
        <w:rPr>
          <w:noProof/>
          <w:color w:val="000000" w:themeColor="text1"/>
        </w:rPr>
        <w:t xml:space="preserve">(2), 714-731. https://doi.org/10.1044/2019_AJSLP-19-00207 </w:t>
      </w:r>
    </w:p>
    <w:p w14:paraId="4B4C14EC" w14:textId="77777777" w:rsidR="00C82253" w:rsidRPr="001433A9" w:rsidRDefault="00C82253" w:rsidP="00BB74E6">
      <w:pPr>
        <w:pStyle w:val="EndNoteBibliography"/>
        <w:ind w:left="720" w:hanging="720"/>
        <w:rPr>
          <w:noProof/>
          <w:color w:val="000000" w:themeColor="text1"/>
        </w:rPr>
      </w:pPr>
      <w:r w:rsidRPr="001433A9">
        <w:rPr>
          <w:noProof/>
          <w:color w:val="000000" w:themeColor="text1"/>
        </w:rPr>
        <w:t xml:space="preserve">Individuals with Disabilities Education Improvement Act of 2004, 20 U.S.C. § 1400 et seq. (2018). </w:t>
      </w:r>
    </w:p>
    <w:p w14:paraId="7F150B56" w14:textId="77777777" w:rsidR="000E578E" w:rsidRPr="001433A9" w:rsidRDefault="00C82253" w:rsidP="00BB74E6">
      <w:pPr>
        <w:pStyle w:val="EndNoteBibliography"/>
        <w:ind w:left="720" w:hanging="720"/>
        <w:rPr>
          <w:i/>
          <w:noProof/>
          <w:color w:val="000000" w:themeColor="text1"/>
        </w:rPr>
      </w:pPr>
      <w:r w:rsidRPr="001433A9">
        <w:rPr>
          <w:noProof/>
          <w:color w:val="000000" w:themeColor="text1"/>
        </w:rPr>
        <w:t xml:space="preserve">Interagency Autism Coordinating Committee (IACC). (2020). </w:t>
      </w:r>
      <w:r w:rsidRPr="001433A9">
        <w:rPr>
          <w:i/>
          <w:noProof/>
          <w:color w:val="000000" w:themeColor="text1"/>
        </w:rPr>
        <w:t>IACC Strategic Plan for Autism</w:t>
      </w:r>
    </w:p>
    <w:p w14:paraId="40CB88C3" w14:textId="6560DA46" w:rsidR="00C82253" w:rsidRPr="001433A9" w:rsidRDefault="00C82253" w:rsidP="000E578E">
      <w:pPr>
        <w:pStyle w:val="EndNoteBibliography"/>
        <w:ind w:left="720"/>
        <w:rPr>
          <w:noProof/>
          <w:color w:val="000000" w:themeColor="text1"/>
        </w:rPr>
      </w:pPr>
      <w:r w:rsidRPr="001433A9">
        <w:rPr>
          <w:i/>
          <w:noProof/>
          <w:color w:val="000000" w:themeColor="text1"/>
        </w:rPr>
        <w:t>Spectrum Disorder (ASD) 2018-2019 Update</w:t>
      </w:r>
      <w:r w:rsidRPr="001433A9">
        <w:rPr>
          <w:noProof/>
          <w:color w:val="000000" w:themeColor="text1"/>
        </w:rPr>
        <w:t>. N. I. o. H. U.S. Department of Health and Human Services. http://iacc.hhs.gov/strategic-plan/2019/</w:t>
      </w:r>
    </w:p>
    <w:p w14:paraId="7D49ABFA" w14:textId="77777777" w:rsidR="00232C0D" w:rsidRPr="001433A9" w:rsidRDefault="00C82253" w:rsidP="00BB74E6">
      <w:pPr>
        <w:pStyle w:val="EndNoteBibliography"/>
        <w:ind w:left="720" w:hanging="720"/>
        <w:rPr>
          <w:noProof/>
          <w:color w:val="000000" w:themeColor="text1"/>
        </w:rPr>
      </w:pPr>
      <w:r w:rsidRPr="001433A9">
        <w:rPr>
          <w:noProof/>
          <w:color w:val="000000" w:themeColor="text1"/>
        </w:rPr>
        <w:t xml:space="preserve">JAMA Network Editors. (2020). </w:t>
      </w:r>
      <w:r w:rsidRPr="001433A9">
        <w:rPr>
          <w:i/>
          <w:noProof/>
          <w:color w:val="000000" w:themeColor="text1"/>
        </w:rPr>
        <w:t>AMA manual of style: A guide for authors and editors</w:t>
      </w:r>
      <w:r w:rsidRPr="001433A9">
        <w:rPr>
          <w:noProof/>
          <w:color w:val="000000" w:themeColor="text1"/>
        </w:rPr>
        <w:t xml:space="preserve"> (11</w:t>
      </w:r>
      <w:r w:rsidRPr="001433A9">
        <w:rPr>
          <w:noProof/>
          <w:color w:val="000000" w:themeColor="text1"/>
          <w:vertAlign w:val="superscript"/>
        </w:rPr>
        <w:t>th</w:t>
      </w:r>
    </w:p>
    <w:p w14:paraId="5B4A7150" w14:textId="49B31A53" w:rsidR="00C82253" w:rsidRPr="001433A9" w:rsidRDefault="00C82253" w:rsidP="00232C0D">
      <w:pPr>
        <w:pStyle w:val="EndNoteBibliography"/>
        <w:ind w:left="720"/>
        <w:rPr>
          <w:noProof/>
          <w:color w:val="000000" w:themeColor="text1"/>
        </w:rPr>
      </w:pPr>
      <w:r w:rsidRPr="001433A9">
        <w:rPr>
          <w:noProof/>
          <w:color w:val="000000" w:themeColor="text1"/>
        </w:rPr>
        <w:t xml:space="preserve">ed.). Oxford University Press. </w:t>
      </w:r>
    </w:p>
    <w:p w14:paraId="79C16300" w14:textId="77777777" w:rsidR="001D32CA" w:rsidRPr="001433A9" w:rsidRDefault="00A25784" w:rsidP="00333BCE">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Jiménez, E., Haebig, E., &amp; Hills, T. T. (2021). Identifying areas of overlap and distinction in early lexical profiles of children with autism spectrum disorder, late talkers, and typical</w:t>
      </w:r>
    </w:p>
    <w:p w14:paraId="76BDF2BB" w14:textId="18F1F542" w:rsidR="00075DCE" w:rsidRPr="001433A9" w:rsidRDefault="00C82253" w:rsidP="001D32CA">
      <w:pPr>
        <w:pStyle w:val="EndNoteBibliography"/>
        <w:ind w:left="720"/>
        <w:rPr>
          <w:noProof/>
          <w:color w:val="000000" w:themeColor="text1"/>
        </w:rPr>
      </w:pPr>
      <w:r w:rsidRPr="001433A9">
        <w:rPr>
          <w:noProof/>
          <w:color w:val="000000" w:themeColor="text1"/>
        </w:rPr>
        <w:t xml:space="preserve">talkers. </w:t>
      </w:r>
      <w:r w:rsidR="006F2B15" w:rsidRPr="001433A9">
        <w:rPr>
          <w:i/>
          <w:noProof/>
          <w:color w:val="000000" w:themeColor="text1"/>
        </w:rPr>
        <w:t>Journal of Autism and Developmental Disorders</w:t>
      </w:r>
      <w:r w:rsidRPr="001433A9">
        <w:rPr>
          <w:i/>
          <w:noProof/>
          <w:color w:val="000000" w:themeColor="text1"/>
        </w:rPr>
        <w:t>, 51</w:t>
      </w:r>
      <w:r w:rsidRPr="001433A9">
        <w:rPr>
          <w:noProof/>
          <w:color w:val="000000" w:themeColor="text1"/>
        </w:rPr>
        <w:t>(9), 3109-3125.</w:t>
      </w:r>
    </w:p>
    <w:p w14:paraId="77A067A6" w14:textId="7015F049" w:rsidR="00C82253" w:rsidRPr="001433A9" w:rsidRDefault="00C82253" w:rsidP="00075DCE">
      <w:pPr>
        <w:pStyle w:val="EndNoteBibliography"/>
        <w:ind w:left="720"/>
        <w:rPr>
          <w:noProof/>
          <w:color w:val="000000" w:themeColor="text1"/>
        </w:rPr>
      </w:pPr>
      <w:r w:rsidRPr="001433A9">
        <w:rPr>
          <w:noProof/>
          <w:color w:val="000000" w:themeColor="text1"/>
        </w:rPr>
        <w:t>https://doi.org/10.1007/s10803-020-04772-1</w:t>
      </w:r>
    </w:p>
    <w:p w14:paraId="5FB54FA0" w14:textId="4985C727" w:rsidR="00C82253" w:rsidRPr="001433A9" w:rsidRDefault="007111FA" w:rsidP="00BB74E6">
      <w:pPr>
        <w:pStyle w:val="EndNoteBibliography"/>
        <w:ind w:left="720" w:hanging="720"/>
        <w:rPr>
          <w:noProof/>
          <w:color w:val="000000" w:themeColor="text1"/>
          <w:lang w:val="fr-FR"/>
        </w:rPr>
      </w:pPr>
      <w:r w:rsidRPr="001433A9">
        <w:rPr>
          <w:noProof/>
          <w:color w:val="000000" w:themeColor="text1"/>
        </w:rPr>
        <w:t>*</w:t>
      </w:r>
      <w:r w:rsidR="00C82253" w:rsidRPr="001433A9">
        <w:rPr>
          <w:noProof/>
          <w:color w:val="000000" w:themeColor="text1"/>
        </w:rPr>
        <w:t xml:space="preserve">Jokel, A., Armstrong, E., Gabis, L., &amp; Segal, O. (2021). Associations and dissociations among phonological processing skills, language skills and nonverbal cognition in individuals with Autism Spectrum Disorder. </w:t>
      </w:r>
      <w:r w:rsidR="00C82253" w:rsidRPr="001433A9">
        <w:rPr>
          <w:i/>
          <w:noProof/>
          <w:color w:val="000000" w:themeColor="text1"/>
          <w:lang w:val="fr-FR"/>
        </w:rPr>
        <w:t>Folia Phoniatrica et Logopaedica</w:t>
      </w:r>
      <w:r w:rsidR="00C82253" w:rsidRPr="001433A9">
        <w:rPr>
          <w:noProof/>
          <w:color w:val="000000" w:themeColor="text1"/>
          <w:lang w:val="fr-FR"/>
        </w:rPr>
        <w:t>,</w:t>
      </w:r>
      <w:r w:rsidR="00C82253" w:rsidRPr="001433A9">
        <w:rPr>
          <w:i/>
          <w:noProof/>
          <w:color w:val="000000" w:themeColor="text1"/>
          <w:lang w:val="fr-FR"/>
        </w:rPr>
        <w:t xml:space="preserve"> 73</w:t>
      </w:r>
      <w:r w:rsidR="00C82253" w:rsidRPr="001433A9">
        <w:rPr>
          <w:noProof/>
          <w:color w:val="000000" w:themeColor="text1"/>
          <w:lang w:val="fr-FR"/>
        </w:rPr>
        <w:t xml:space="preserve">(3), 222-232. https://doi.org/10.1159/000505744 </w:t>
      </w:r>
    </w:p>
    <w:p w14:paraId="49BCA4EF" w14:textId="77777777" w:rsidR="00C82253" w:rsidRPr="001433A9" w:rsidRDefault="00C82253" w:rsidP="00BB74E6">
      <w:pPr>
        <w:pStyle w:val="EndNoteBibliography"/>
        <w:ind w:left="720" w:hanging="720"/>
        <w:rPr>
          <w:noProof/>
          <w:color w:val="000000" w:themeColor="text1"/>
        </w:rPr>
      </w:pPr>
      <w:r w:rsidRPr="001433A9">
        <w:rPr>
          <w:noProof/>
          <w:color w:val="000000" w:themeColor="text1"/>
          <w:lang w:val="fr-FR"/>
        </w:rPr>
        <w:t xml:space="preserve">Jones, D. R., &amp; Mandell, D. S. (2020). </w:t>
      </w:r>
      <w:r w:rsidRPr="001433A9">
        <w:rPr>
          <w:noProof/>
          <w:color w:val="000000" w:themeColor="text1"/>
        </w:rPr>
        <w:t xml:space="preserve">To address racial disparities in autism research, we must think globally, act locally. </w:t>
      </w:r>
      <w:r w:rsidRPr="001433A9">
        <w:rPr>
          <w:i/>
          <w:noProof/>
          <w:color w:val="000000" w:themeColor="text1"/>
        </w:rPr>
        <w:t>Autism</w:t>
      </w:r>
      <w:r w:rsidRPr="001433A9">
        <w:rPr>
          <w:noProof/>
          <w:color w:val="000000" w:themeColor="text1"/>
        </w:rPr>
        <w:t>,</w:t>
      </w:r>
      <w:r w:rsidRPr="001433A9">
        <w:rPr>
          <w:i/>
          <w:noProof/>
          <w:color w:val="000000" w:themeColor="text1"/>
        </w:rPr>
        <w:t xml:space="preserve"> 24</w:t>
      </w:r>
      <w:r w:rsidRPr="001433A9">
        <w:rPr>
          <w:noProof/>
          <w:color w:val="000000" w:themeColor="text1"/>
        </w:rPr>
        <w:t xml:space="preserve">(7), 1587-1589. https://doi.org/10.1177/1362361320948313 </w:t>
      </w:r>
    </w:p>
    <w:p w14:paraId="099413A2" w14:textId="77777777" w:rsidR="004D5518" w:rsidRPr="001433A9" w:rsidRDefault="00C82253" w:rsidP="00BB74E6">
      <w:pPr>
        <w:pStyle w:val="EndNoteBibliography"/>
        <w:ind w:left="720" w:hanging="720"/>
        <w:rPr>
          <w:noProof/>
          <w:color w:val="000000" w:themeColor="text1"/>
        </w:rPr>
      </w:pPr>
      <w:r w:rsidRPr="001433A9">
        <w:rPr>
          <w:noProof/>
          <w:color w:val="000000" w:themeColor="text1"/>
        </w:rPr>
        <w:t>Joseph, G., &amp; Dohan, D. (2009). Diversity of participants in clinical trials in an academic</w:t>
      </w:r>
    </w:p>
    <w:p w14:paraId="4BBF1C80" w14:textId="77777777" w:rsidR="00D50868" w:rsidRPr="001433A9" w:rsidRDefault="00C82253" w:rsidP="004D5518">
      <w:pPr>
        <w:pStyle w:val="EndNoteBibliography"/>
        <w:ind w:left="720"/>
        <w:rPr>
          <w:noProof/>
          <w:color w:val="000000" w:themeColor="text1"/>
        </w:rPr>
      </w:pPr>
      <w:r w:rsidRPr="001433A9">
        <w:rPr>
          <w:noProof/>
          <w:color w:val="000000" w:themeColor="text1"/>
        </w:rPr>
        <w:t xml:space="preserve">medical center: The role of the ‘good study patient?’. </w:t>
      </w:r>
      <w:r w:rsidRPr="001433A9">
        <w:rPr>
          <w:i/>
          <w:noProof/>
          <w:color w:val="000000" w:themeColor="text1"/>
        </w:rPr>
        <w:t>Cancer</w:t>
      </w:r>
      <w:r w:rsidRPr="001433A9">
        <w:rPr>
          <w:noProof/>
          <w:color w:val="000000" w:themeColor="text1"/>
        </w:rPr>
        <w:t>,</w:t>
      </w:r>
      <w:r w:rsidRPr="001433A9">
        <w:rPr>
          <w:i/>
          <w:noProof/>
          <w:color w:val="000000" w:themeColor="text1"/>
        </w:rPr>
        <w:t xml:space="preserve"> 115</w:t>
      </w:r>
      <w:r w:rsidRPr="001433A9">
        <w:rPr>
          <w:noProof/>
          <w:color w:val="000000" w:themeColor="text1"/>
        </w:rPr>
        <w:t>(3), 608-615.</w:t>
      </w:r>
    </w:p>
    <w:p w14:paraId="65104FAC" w14:textId="7DB536F5" w:rsidR="00C82253" w:rsidRPr="001433A9" w:rsidRDefault="00C82253" w:rsidP="004D5518">
      <w:pPr>
        <w:pStyle w:val="EndNoteBibliography"/>
        <w:ind w:left="720"/>
        <w:rPr>
          <w:noProof/>
          <w:color w:val="000000" w:themeColor="text1"/>
        </w:rPr>
      </w:pPr>
      <w:r w:rsidRPr="001433A9">
        <w:rPr>
          <w:noProof/>
          <w:color w:val="000000" w:themeColor="text1"/>
        </w:rPr>
        <w:t xml:space="preserve">https://doi.org/10.1002/cncr.24028 </w:t>
      </w:r>
    </w:p>
    <w:p w14:paraId="1BF64D12" w14:textId="77777777" w:rsidR="00602F38" w:rsidRPr="001433A9" w:rsidRDefault="009C229B" w:rsidP="00BB74E6">
      <w:pPr>
        <w:pStyle w:val="EndNoteBibliography"/>
        <w:ind w:left="720" w:hanging="720"/>
        <w:rPr>
          <w:noProof/>
          <w:color w:val="000000" w:themeColor="text1"/>
        </w:rPr>
      </w:pPr>
      <w:r w:rsidRPr="001433A9">
        <w:rPr>
          <w:noProof/>
          <w:color w:val="000000" w:themeColor="text1"/>
          <w:lang w:val="fr-FR"/>
        </w:rPr>
        <w:t>*</w:t>
      </w:r>
      <w:r w:rsidR="00C82253" w:rsidRPr="001433A9">
        <w:rPr>
          <w:noProof/>
          <w:color w:val="000000" w:themeColor="text1"/>
          <w:lang w:val="fr-FR"/>
        </w:rPr>
        <w:t xml:space="preserve">Jyotishi, M., Fein, D. A., &amp; Naigles, L. R. (2017). </w:t>
      </w:r>
      <w:r w:rsidR="00C82253" w:rsidRPr="001433A9">
        <w:rPr>
          <w:noProof/>
          <w:color w:val="000000" w:themeColor="text1"/>
        </w:rPr>
        <w:t>“Didn’t I just say that?” Comparing parent</w:t>
      </w:r>
    </w:p>
    <w:p w14:paraId="6379CAAA" w14:textId="77777777" w:rsidR="00602F38" w:rsidRPr="001433A9" w:rsidRDefault="00C82253" w:rsidP="00602F38">
      <w:pPr>
        <w:pStyle w:val="EndNoteBibliography"/>
        <w:ind w:left="720"/>
        <w:rPr>
          <w:i/>
          <w:noProof/>
          <w:color w:val="000000" w:themeColor="text1"/>
        </w:rPr>
      </w:pPr>
      <w:r w:rsidRPr="001433A9">
        <w:rPr>
          <w:noProof/>
          <w:color w:val="000000" w:themeColor="text1"/>
        </w:rPr>
        <w:t xml:space="preserve">report and spontaneous speech as indicators of grammatical development. </w:t>
      </w:r>
      <w:r w:rsidRPr="001433A9">
        <w:rPr>
          <w:i/>
          <w:noProof/>
          <w:color w:val="000000" w:themeColor="text1"/>
        </w:rPr>
        <w:t>Research in</w:t>
      </w:r>
    </w:p>
    <w:p w14:paraId="3DCD5413" w14:textId="5260B7B2" w:rsidR="00C82253" w:rsidRPr="001433A9" w:rsidRDefault="00C82253" w:rsidP="00602F38">
      <w:pPr>
        <w:pStyle w:val="EndNoteBibliography"/>
        <w:ind w:left="720"/>
        <w:rPr>
          <w:noProof/>
          <w:color w:val="000000" w:themeColor="text1"/>
        </w:rPr>
      </w:pPr>
      <w:r w:rsidRPr="001433A9">
        <w:rPr>
          <w:i/>
          <w:noProof/>
          <w:color w:val="000000" w:themeColor="text1"/>
        </w:rPr>
        <w:t>developmental disabilities</w:t>
      </w:r>
      <w:r w:rsidRPr="001433A9">
        <w:rPr>
          <w:noProof/>
          <w:color w:val="000000" w:themeColor="text1"/>
        </w:rPr>
        <w:t>,</w:t>
      </w:r>
      <w:r w:rsidRPr="001433A9">
        <w:rPr>
          <w:i/>
          <w:noProof/>
          <w:color w:val="000000" w:themeColor="text1"/>
        </w:rPr>
        <w:t xml:space="preserve"> 61</w:t>
      </w:r>
      <w:r w:rsidRPr="001433A9">
        <w:rPr>
          <w:noProof/>
          <w:color w:val="000000" w:themeColor="text1"/>
        </w:rPr>
        <w:t xml:space="preserve">, 32-43. https://doi.org/10.1016/j.ridd.2016.12.013 </w:t>
      </w:r>
    </w:p>
    <w:p w14:paraId="091F2789" w14:textId="029BBFCE" w:rsidR="00C82253" w:rsidRPr="001433A9" w:rsidRDefault="00C50554"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Kjelgaard, M. M., &amp; Tager-Flusberg, H. (2001). An investigation of language impairment in autism: Implications for genetic subgroups. </w:t>
      </w:r>
      <w:r w:rsidR="00C82253" w:rsidRPr="001433A9">
        <w:rPr>
          <w:i/>
          <w:noProof/>
          <w:color w:val="000000" w:themeColor="text1"/>
        </w:rPr>
        <w:t>Language and Cognitive Processes</w:t>
      </w:r>
      <w:r w:rsidR="00C82253" w:rsidRPr="001433A9">
        <w:rPr>
          <w:noProof/>
          <w:color w:val="000000" w:themeColor="text1"/>
        </w:rPr>
        <w:t>,</w:t>
      </w:r>
      <w:r w:rsidR="00C82253" w:rsidRPr="001433A9">
        <w:rPr>
          <w:i/>
          <w:noProof/>
          <w:color w:val="000000" w:themeColor="text1"/>
        </w:rPr>
        <w:t xml:space="preserve"> 16</w:t>
      </w:r>
      <w:r w:rsidR="00C82253" w:rsidRPr="001433A9">
        <w:rPr>
          <w:noProof/>
          <w:color w:val="000000" w:themeColor="text1"/>
        </w:rPr>
        <w:t xml:space="preserve">(2-3), 287-308. https://doi.org/10.1080/01690960042000058 </w:t>
      </w:r>
    </w:p>
    <w:p w14:paraId="0B3C62F4" w14:textId="21F6D0B6" w:rsidR="00C82253" w:rsidRPr="001433A9" w:rsidRDefault="00333BCE"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Klusek, J., Martin, G. E., &amp; Losh, M. (2014). A comparison of pragmatic language in boys with autism and fragile X syndrome. </w:t>
      </w:r>
      <w:r w:rsidR="00C82253" w:rsidRPr="001433A9">
        <w:rPr>
          <w:i/>
          <w:noProof/>
          <w:color w:val="000000" w:themeColor="text1"/>
        </w:rPr>
        <w:t>Journal of Speech, Language, and Hearing Research</w:t>
      </w:r>
      <w:r w:rsidR="00C82253" w:rsidRPr="001433A9">
        <w:rPr>
          <w:noProof/>
          <w:color w:val="000000" w:themeColor="text1"/>
        </w:rPr>
        <w:t>,</w:t>
      </w:r>
      <w:r w:rsidR="00C82253" w:rsidRPr="001433A9">
        <w:rPr>
          <w:i/>
          <w:noProof/>
          <w:color w:val="000000" w:themeColor="text1"/>
        </w:rPr>
        <w:t xml:space="preserve"> 57</w:t>
      </w:r>
      <w:r w:rsidR="00C82253" w:rsidRPr="001433A9">
        <w:rPr>
          <w:noProof/>
          <w:color w:val="000000" w:themeColor="text1"/>
        </w:rPr>
        <w:t xml:space="preserve">(5), 1692-1707. https://doi.org/10.1044/2014_JSLHR-L-13-0064 </w:t>
      </w:r>
    </w:p>
    <w:p w14:paraId="6412C5ED" w14:textId="77777777" w:rsidR="00C77796" w:rsidRPr="001433A9" w:rsidRDefault="003033DD"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Kover, S. T., &amp; Ellis Weismer, S. (2014). Lexical characteristics of expressive vocabulary in</w:t>
      </w:r>
    </w:p>
    <w:p w14:paraId="26ACD640" w14:textId="3F3FF395" w:rsidR="00C82253" w:rsidRPr="001433A9" w:rsidRDefault="00C82253" w:rsidP="00C77796">
      <w:pPr>
        <w:pStyle w:val="EndNoteBibliography"/>
        <w:ind w:left="720"/>
        <w:rPr>
          <w:noProof/>
          <w:color w:val="000000" w:themeColor="text1"/>
        </w:rPr>
      </w:pPr>
      <w:r w:rsidRPr="001433A9">
        <w:rPr>
          <w:noProof/>
          <w:color w:val="000000" w:themeColor="text1"/>
        </w:rPr>
        <w:t xml:space="preserve">toddlers with autism spectrum disorder. </w:t>
      </w:r>
      <w:r w:rsidRPr="001433A9">
        <w:rPr>
          <w:i/>
          <w:noProof/>
          <w:color w:val="000000" w:themeColor="text1"/>
        </w:rPr>
        <w:t>Journal of Speech, Language, and Hearing Research</w:t>
      </w:r>
      <w:r w:rsidRPr="001433A9">
        <w:rPr>
          <w:noProof/>
          <w:color w:val="000000" w:themeColor="text1"/>
        </w:rPr>
        <w:t>,</w:t>
      </w:r>
      <w:r w:rsidRPr="001433A9">
        <w:rPr>
          <w:i/>
          <w:noProof/>
          <w:color w:val="000000" w:themeColor="text1"/>
        </w:rPr>
        <w:t xml:space="preserve"> 57</w:t>
      </w:r>
      <w:r w:rsidRPr="001433A9">
        <w:rPr>
          <w:noProof/>
          <w:color w:val="000000" w:themeColor="text1"/>
        </w:rPr>
        <w:t xml:space="preserve">(4), 1428-1441. https://doi.org/10.1044/2014_JSLHR-L-13-0006 </w:t>
      </w:r>
    </w:p>
    <w:p w14:paraId="4FA42426" w14:textId="33956068" w:rsidR="00C82253" w:rsidRPr="001433A9" w:rsidRDefault="00333BCE"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Kover, S. T., Haebig, E., Oakes, A., McDuffie, A., Hagerman, R. J., &amp; Abbeduto, L. (2014). Sentence comprehension in boys with autism spectrum disorder. </w:t>
      </w:r>
      <w:r w:rsidR="00C82253" w:rsidRPr="001433A9">
        <w:rPr>
          <w:i/>
          <w:noProof/>
          <w:color w:val="000000" w:themeColor="text1"/>
        </w:rPr>
        <w:t>American Journal of Speech-Language Pathology</w:t>
      </w:r>
      <w:r w:rsidR="00C82253" w:rsidRPr="001433A9">
        <w:rPr>
          <w:noProof/>
          <w:color w:val="000000" w:themeColor="text1"/>
        </w:rPr>
        <w:t>,</w:t>
      </w:r>
      <w:r w:rsidR="00C82253" w:rsidRPr="001433A9">
        <w:rPr>
          <w:i/>
          <w:noProof/>
          <w:color w:val="000000" w:themeColor="text1"/>
        </w:rPr>
        <w:t xml:space="preserve"> 23</w:t>
      </w:r>
      <w:r w:rsidR="00C82253" w:rsidRPr="001433A9">
        <w:rPr>
          <w:noProof/>
          <w:color w:val="000000" w:themeColor="text1"/>
        </w:rPr>
        <w:t xml:space="preserve">(3), 385-394. https://doi.org/10.1044/2014_AJSLP-13-0073 </w:t>
      </w:r>
    </w:p>
    <w:p w14:paraId="670BA9E8" w14:textId="34664973" w:rsidR="00C82253" w:rsidRPr="001433A9" w:rsidRDefault="00333BCE"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Kover, S. T., McDuffie, A. S., Hagerman, R. J., &amp; Abbeduto, L. (2013). Receptive vocabulary in boys with autism spectrum disorder: Cross-sectional developmental trajectories. </w:t>
      </w:r>
      <w:r w:rsidR="006F2B15" w:rsidRPr="001433A9">
        <w:rPr>
          <w:i/>
          <w:noProof/>
          <w:color w:val="000000" w:themeColor="text1"/>
        </w:rPr>
        <w:t>Journal of Autism and Developmental Disorders</w:t>
      </w:r>
      <w:r w:rsidR="00C82253" w:rsidRPr="001433A9">
        <w:rPr>
          <w:noProof/>
          <w:color w:val="000000" w:themeColor="text1"/>
        </w:rPr>
        <w:t>,</w:t>
      </w:r>
      <w:r w:rsidR="00C82253" w:rsidRPr="001433A9">
        <w:rPr>
          <w:i/>
          <w:noProof/>
          <w:color w:val="000000" w:themeColor="text1"/>
        </w:rPr>
        <w:t xml:space="preserve"> 43</w:t>
      </w:r>
      <w:r w:rsidR="00C82253" w:rsidRPr="001433A9">
        <w:rPr>
          <w:noProof/>
          <w:color w:val="000000" w:themeColor="text1"/>
        </w:rPr>
        <w:t xml:space="preserve">(11), 2696-2709. https://doi.org/10.1007/s10803-013-1823-x </w:t>
      </w:r>
    </w:p>
    <w:p w14:paraId="45821CE5" w14:textId="0ABDB893" w:rsidR="00C82253" w:rsidRPr="001433A9" w:rsidRDefault="00BA43C5" w:rsidP="00BB74E6">
      <w:pPr>
        <w:pStyle w:val="EndNoteBibliography"/>
        <w:ind w:left="720" w:hanging="720"/>
        <w:rPr>
          <w:noProof/>
          <w:color w:val="000000" w:themeColor="text1"/>
        </w:rPr>
      </w:pPr>
      <w:r w:rsidRPr="001433A9">
        <w:rPr>
          <w:noProof/>
          <w:color w:val="000000" w:themeColor="text1"/>
        </w:rPr>
        <w:lastRenderedPageBreak/>
        <w:t>*</w:t>
      </w:r>
      <w:r w:rsidR="00C82253" w:rsidRPr="001433A9">
        <w:rPr>
          <w:noProof/>
          <w:color w:val="000000" w:themeColor="text1"/>
        </w:rPr>
        <w:t xml:space="preserve">Landa, R. J., &amp; Goldberg, M. C. (2005). Language, social, and executive functions in high functioning autism: A continuum of performance. </w:t>
      </w:r>
      <w:r w:rsidR="006F2B15" w:rsidRPr="001433A9">
        <w:rPr>
          <w:i/>
          <w:noProof/>
          <w:color w:val="000000" w:themeColor="text1"/>
        </w:rPr>
        <w:t>Journal of Autism and Developmental Disorders</w:t>
      </w:r>
      <w:r w:rsidR="00C82253" w:rsidRPr="001433A9">
        <w:rPr>
          <w:noProof/>
          <w:color w:val="000000" w:themeColor="text1"/>
        </w:rPr>
        <w:t>,</w:t>
      </w:r>
      <w:r w:rsidR="00C82253" w:rsidRPr="001433A9">
        <w:rPr>
          <w:i/>
          <w:noProof/>
          <w:color w:val="000000" w:themeColor="text1"/>
        </w:rPr>
        <w:t xml:space="preserve"> 35</w:t>
      </w:r>
      <w:r w:rsidR="00C82253" w:rsidRPr="001433A9">
        <w:rPr>
          <w:noProof/>
          <w:color w:val="000000" w:themeColor="text1"/>
        </w:rPr>
        <w:t xml:space="preserve">(5), 557-573. https://doi.org/10.1007/s10803-005-0001-1 </w:t>
      </w:r>
    </w:p>
    <w:p w14:paraId="2B9B6172" w14:textId="0C487878" w:rsidR="00C82253" w:rsidRPr="001433A9" w:rsidRDefault="00C00A05"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Lindgren, K. A., Folstein, S. E., Tomblin, J. B., &amp; Tager‐Flusberg, H. (2009). Language and reading abilities of children with autism spectrum disorders and specific language impairment and their first‐degree relatives. </w:t>
      </w:r>
      <w:r w:rsidR="00C82253" w:rsidRPr="001433A9">
        <w:rPr>
          <w:i/>
          <w:noProof/>
          <w:color w:val="000000" w:themeColor="text1"/>
        </w:rPr>
        <w:t>Autism Research</w:t>
      </w:r>
      <w:r w:rsidR="00C82253" w:rsidRPr="001433A9">
        <w:rPr>
          <w:noProof/>
          <w:color w:val="000000" w:themeColor="text1"/>
        </w:rPr>
        <w:t>,</w:t>
      </w:r>
      <w:r w:rsidR="00C82253" w:rsidRPr="001433A9">
        <w:rPr>
          <w:i/>
          <w:noProof/>
          <w:color w:val="000000" w:themeColor="text1"/>
        </w:rPr>
        <w:t xml:space="preserve"> 2</w:t>
      </w:r>
      <w:r w:rsidR="00C82253" w:rsidRPr="001433A9">
        <w:rPr>
          <w:noProof/>
          <w:color w:val="000000" w:themeColor="text1"/>
        </w:rPr>
        <w:t xml:space="preserve">(1), 22-38. https://doi.org/10.1002/aur.63 </w:t>
      </w:r>
    </w:p>
    <w:p w14:paraId="1F7353E7" w14:textId="08AD24F1" w:rsidR="005E5438" w:rsidRPr="001433A9" w:rsidRDefault="005E5438" w:rsidP="00BB74E6">
      <w:pPr>
        <w:pStyle w:val="EndNoteBibliography"/>
        <w:ind w:left="720" w:hanging="720"/>
        <w:rPr>
          <w:noProof/>
          <w:color w:val="000000" w:themeColor="text1"/>
        </w:rPr>
      </w:pPr>
      <w:r w:rsidRPr="001433A9">
        <w:rPr>
          <w:color w:val="000000" w:themeColor="text1"/>
          <w:shd w:val="clear" w:color="auto" w:fill="FFFFFF"/>
        </w:rPr>
        <w:t>Long, K., &amp; Renbarger, R. (2023). Persistence of poverty: How measures of Socioeconomic status have changed over time. </w:t>
      </w:r>
      <w:r w:rsidRPr="001433A9">
        <w:rPr>
          <w:i/>
          <w:iCs/>
          <w:color w:val="000000" w:themeColor="text1"/>
          <w:shd w:val="clear" w:color="auto" w:fill="FFFFFF"/>
        </w:rPr>
        <w:t>Educational Researcher</w:t>
      </w:r>
      <w:r w:rsidRPr="001433A9">
        <w:rPr>
          <w:color w:val="000000" w:themeColor="text1"/>
          <w:shd w:val="clear" w:color="auto" w:fill="FFFFFF"/>
        </w:rPr>
        <w:t>, 0013189X221141409</w:t>
      </w:r>
      <w:r w:rsidRPr="001433A9">
        <w:rPr>
          <w:rFonts w:ascii="Arial" w:hAnsi="Arial" w:cs="Arial"/>
          <w:color w:val="000000" w:themeColor="text1"/>
          <w:sz w:val="20"/>
          <w:szCs w:val="20"/>
          <w:shd w:val="clear" w:color="auto" w:fill="FFFFFF"/>
        </w:rPr>
        <w:t xml:space="preserve">. </w:t>
      </w:r>
      <w:r w:rsidRPr="001433A9">
        <w:rPr>
          <w:color w:val="000000" w:themeColor="text1"/>
          <w:shd w:val="clear" w:color="auto" w:fill="FFFFFF"/>
        </w:rPr>
        <w:t>https://doi.org/10.3102/0013189X221141409</w:t>
      </w:r>
    </w:p>
    <w:p w14:paraId="2F2D2C0B" w14:textId="1D31ED8F" w:rsidR="000E578E" w:rsidRPr="001433A9" w:rsidRDefault="006A517C"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Luyster, R., Lopez, K., &amp; Lord, C. (2007). Characterizing communicative development in</w:t>
      </w:r>
    </w:p>
    <w:p w14:paraId="47D03552" w14:textId="72FF6581" w:rsidR="00333BCE" w:rsidRPr="001433A9" w:rsidRDefault="00C82253" w:rsidP="000E578E">
      <w:pPr>
        <w:pStyle w:val="EndNoteBibliography"/>
        <w:ind w:left="720"/>
        <w:rPr>
          <w:noProof/>
          <w:color w:val="000000" w:themeColor="text1"/>
        </w:rPr>
      </w:pPr>
      <w:r w:rsidRPr="001433A9">
        <w:rPr>
          <w:noProof/>
          <w:color w:val="000000" w:themeColor="text1"/>
        </w:rPr>
        <w:t xml:space="preserve">children referred for autism spectrum disorders using the MacArthur-Bates Communicative Development Inventory (CDI). </w:t>
      </w:r>
      <w:r w:rsidRPr="001433A9">
        <w:rPr>
          <w:i/>
          <w:noProof/>
          <w:color w:val="000000" w:themeColor="text1"/>
        </w:rPr>
        <w:t>Journal of child language</w:t>
      </w:r>
      <w:r w:rsidRPr="001433A9">
        <w:rPr>
          <w:noProof/>
          <w:color w:val="000000" w:themeColor="text1"/>
        </w:rPr>
        <w:t>,</w:t>
      </w:r>
      <w:r w:rsidRPr="001433A9">
        <w:rPr>
          <w:i/>
          <w:noProof/>
          <w:color w:val="000000" w:themeColor="text1"/>
        </w:rPr>
        <w:t xml:space="preserve"> 34</w:t>
      </w:r>
      <w:r w:rsidRPr="001433A9">
        <w:rPr>
          <w:noProof/>
          <w:color w:val="000000" w:themeColor="text1"/>
        </w:rPr>
        <w:t>(3), 623</w:t>
      </w:r>
    </w:p>
    <w:p w14:paraId="02F62D9B" w14:textId="77228B78" w:rsidR="00C82253" w:rsidRPr="001433A9" w:rsidRDefault="00333BCE" w:rsidP="00333BCE">
      <w:pPr>
        <w:pStyle w:val="EndNoteBibliography"/>
        <w:ind w:left="720"/>
        <w:rPr>
          <w:noProof/>
          <w:color w:val="000000" w:themeColor="text1"/>
        </w:rPr>
      </w:pPr>
      <w:r w:rsidRPr="001433A9">
        <w:rPr>
          <w:noProof/>
          <w:color w:val="000000" w:themeColor="text1"/>
        </w:rPr>
        <w:t>-</w:t>
      </w:r>
      <w:r w:rsidR="00C82253" w:rsidRPr="001433A9">
        <w:rPr>
          <w:noProof/>
          <w:color w:val="000000" w:themeColor="text1"/>
        </w:rPr>
        <w:t xml:space="preserve">654. https://doi.org/10.1017/S0305000907008094 </w:t>
      </w:r>
    </w:p>
    <w:p w14:paraId="3853372D" w14:textId="77777777" w:rsidR="002707CB" w:rsidRPr="001433A9" w:rsidRDefault="00333BCE"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Luyster, R. J., Kadlec, M. B., Carter, A., &amp; Tager-Flusberg, H. (2008). Language assessment</w:t>
      </w:r>
    </w:p>
    <w:p w14:paraId="394048F5" w14:textId="12D0E2C7" w:rsidR="00C82253" w:rsidRPr="001433A9" w:rsidRDefault="00C82253" w:rsidP="002707CB">
      <w:pPr>
        <w:pStyle w:val="EndNoteBibliography"/>
        <w:ind w:left="720"/>
        <w:rPr>
          <w:noProof/>
          <w:color w:val="000000" w:themeColor="text1"/>
        </w:rPr>
      </w:pPr>
      <w:r w:rsidRPr="001433A9">
        <w:rPr>
          <w:noProof/>
          <w:color w:val="000000" w:themeColor="text1"/>
        </w:rPr>
        <w:t xml:space="preserve">and development in toddlers with autism spectrum disorders. </w:t>
      </w:r>
      <w:r w:rsidR="006F2B15" w:rsidRPr="001433A9">
        <w:rPr>
          <w:i/>
          <w:noProof/>
          <w:color w:val="000000" w:themeColor="text1"/>
        </w:rPr>
        <w:t>Journal of Autism and Developmental Disorders</w:t>
      </w:r>
      <w:r w:rsidRPr="001433A9">
        <w:rPr>
          <w:noProof/>
          <w:color w:val="000000" w:themeColor="text1"/>
        </w:rPr>
        <w:t>,</w:t>
      </w:r>
      <w:r w:rsidRPr="001433A9">
        <w:rPr>
          <w:i/>
          <w:noProof/>
          <w:color w:val="000000" w:themeColor="text1"/>
        </w:rPr>
        <w:t xml:space="preserve"> 38</w:t>
      </w:r>
      <w:r w:rsidRPr="001433A9">
        <w:rPr>
          <w:noProof/>
          <w:color w:val="000000" w:themeColor="text1"/>
        </w:rPr>
        <w:t xml:space="preserve">(8), 1426-1438. https://doi.org/10.1007/s10803-007-0510-1 </w:t>
      </w:r>
    </w:p>
    <w:p w14:paraId="42743B82" w14:textId="77777777" w:rsidR="00075DCE" w:rsidRPr="001433A9" w:rsidRDefault="00C82253" w:rsidP="00BB74E6">
      <w:pPr>
        <w:pStyle w:val="EndNoteBibliography"/>
        <w:ind w:left="720" w:hanging="720"/>
        <w:rPr>
          <w:noProof/>
          <w:color w:val="000000" w:themeColor="text1"/>
        </w:rPr>
      </w:pPr>
      <w:r w:rsidRPr="001433A9">
        <w:rPr>
          <w:noProof/>
          <w:color w:val="000000" w:themeColor="text1"/>
        </w:rPr>
        <w:t>Maenner, M. J., Shaw, K. A., Baio, J., Washington, A., Patrick, M., DiRienzo, M., Christensen,</w:t>
      </w:r>
    </w:p>
    <w:p w14:paraId="5A90F207" w14:textId="77777777" w:rsidR="009B7605" w:rsidRPr="001433A9" w:rsidRDefault="00C82253" w:rsidP="00075DCE">
      <w:pPr>
        <w:pStyle w:val="EndNoteBibliography"/>
        <w:ind w:left="720"/>
        <w:rPr>
          <w:noProof/>
          <w:color w:val="000000" w:themeColor="text1"/>
        </w:rPr>
      </w:pPr>
      <w:r w:rsidRPr="001433A9">
        <w:rPr>
          <w:noProof/>
          <w:color w:val="000000" w:themeColor="text1"/>
        </w:rPr>
        <w:t xml:space="preserve">D. L., Wiggins, L. D., Pettygrove, S., Andrews, J. G., Lopez, M., Hudson, A., Baroud, T., Schwenk, Y., White, T., Rosenberg, C. R., Lee, L. C., Harrington, R. A., Huston, M., . . . Dietz, P. M. (2020). Prevalence of autism spectrum disorder among children aged 8 years—autism and developmental disabilities monitoring network, 11 sites, United States, 2016. </w:t>
      </w:r>
      <w:r w:rsidRPr="001433A9">
        <w:rPr>
          <w:i/>
          <w:noProof/>
          <w:color w:val="000000" w:themeColor="text1"/>
        </w:rPr>
        <w:t>MMWR Surveillance Summaries</w:t>
      </w:r>
      <w:r w:rsidRPr="001433A9">
        <w:rPr>
          <w:noProof/>
          <w:color w:val="000000" w:themeColor="text1"/>
        </w:rPr>
        <w:t>,</w:t>
      </w:r>
      <w:r w:rsidRPr="001433A9">
        <w:rPr>
          <w:i/>
          <w:noProof/>
          <w:color w:val="000000" w:themeColor="text1"/>
        </w:rPr>
        <w:t xml:space="preserve"> 69</w:t>
      </w:r>
      <w:r w:rsidRPr="001433A9">
        <w:rPr>
          <w:noProof/>
          <w:color w:val="000000" w:themeColor="text1"/>
        </w:rPr>
        <w:t>(4), 1-12.</w:t>
      </w:r>
    </w:p>
    <w:p w14:paraId="723BBAF1" w14:textId="05A1CFDD" w:rsidR="00C82253" w:rsidRPr="001433A9" w:rsidRDefault="00C82253" w:rsidP="00075DCE">
      <w:pPr>
        <w:pStyle w:val="EndNoteBibliography"/>
        <w:ind w:left="720"/>
        <w:rPr>
          <w:noProof/>
          <w:color w:val="000000" w:themeColor="text1"/>
        </w:rPr>
      </w:pPr>
      <w:r w:rsidRPr="001433A9">
        <w:rPr>
          <w:noProof/>
          <w:color w:val="000000" w:themeColor="text1"/>
        </w:rPr>
        <w:t xml:space="preserve">https://doi.org/10.15585/mmwr.ss6904a1 </w:t>
      </w:r>
    </w:p>
    <w:p w14:paraId="767F7379" w14:textId="7D3C7009" w:rsidR="004D5518" w:rsidRPr="001433A9" w:rsidRDefault="00C82253" w:rsidP="00BB74E6">
      <w:pPr>
        <w:pStyle w:val="EndNoteBibliography"/>
        <w:ind w:left="720" w:hanging="720"/>
        <w:rPr>
          <w:noProof/>
          <w:color w:val="000000" w:themeColor="text1"/>
        </w:rPr>
      </w:pPr>
      <w:r w:rsidRPr="001433A9">
        <w:rPr>
          <w:noProof/>
          <w:color w:val="000000" w:themeColor="text1"/>
        </w:rPr>
        <w:t xml:space="preserve">Magiati, I., Tay, X. W., &amp; Howlin, P. (2014). Cognitive, language, social and behavioural outcomes in adults with autism spectrum disorders: A systematic review of longitudinal follow-up studies in adulthood. </w:t>
      </w:r>
      <w:r w:rsidRPr="001433A9">
        <w:rPr>
          <w:i/>
          <w:noProof/>
          <w:color w:val="000000" w:themeColor="text1"/>
        </w:rPr>
        <w:t xml:space="preserve">Clinical </w:t>
      </w:r>
      <w:r w:rsidR="00133735" w:rsidRPr="001433A9">
        <w:rPr>
          <w:i/>
          <w:noProof/>
          <w:color w:val="000000" w:themeColor="text1"/>
        </w:rPr>
        <w:t>P</w:t>
      </w:r>
      <w:r w:rsidRPr="001433A9">
        <w:rPr>
          <w:i/>
          <w:noProof/>
          <w:color w:val="000000" w:themeColor="text1"/>
        </w:rPr>
        <w:t xml:space="preserve">sychology </w:t>
      </w:r>
      <w:r w:rsidR="00133735" w:rsidRPr="001433A9">
        <w:rPr>
          <w:i/>
          <w:noProof/>
          <w:color w:val="000000" w:themeColor="text1"/>
        </w:rPr>
        <w:t>R</w:t>
      </w:r>
      <w:r w:rsidRPr="001433A9">
        <w:rPr>
          <w:i/>
          <w:noProof/>
          <w:color w:val="000000" w:themeColor="text1"/>
        </w:rPr>
        <w:t>eview</w:t>
      </w:r>
      <w:r w:rsidRPr="001433A9">
        <w:rPr>
          <w:noProof/>
          <w:color w:val="000000" w:themeColor="text1"/>
        </w:rPr>
        <w:t>,</w:t>
      </w:r>
      <w:r w:rsidRPr="001433A9">
        <w:rPr>
          <w:i/>
          <w:noProof/>
          <w:color w:val="000000" w:themeColor="text1"/>
        </w:rPr>
        <w:t xml:space="preserve"> 34</w:t>
      </w:r>
      <w:r w:rsidRPr="001433A9">
        <w:rPr>
          <w:noProof/>
          <w:color w:val="000000" w:themeColor="text1"/>
        </w:rPr>
        <w:t>(1), 73-86.</w:t>
      </w:r>
    </w:p>
    <w:p w14:paraId="787F9B85" w14:textId="7980DC61" w:rsidR="00C82253" w:rsidRPr="001433A9" w:rsidRDefault="00C82253" w:rsidP="004D5518">
      <w:pPr>
        <w:pStyle w:val="EndNoteBibliography"/>
        <w:ind w:left="720"/>
        <w:rPr>
          <w:noProof/>
          <w:color w:val="000000" w:themeColor="text1"/>
        </w:rPr>
      </w:pPr>
      <w:r w:rsidRPr="001433A9">
        <w:rPr>
          <w:noProof/>
          <w:color w:val="000000" w:themeColor="text1"/>
        </w:rPr>
        <w:t xml:space="preserve">https://doi.org/10.1016/j.cpr.2013.11.002 </w:t>
      </w:r>
    </w:p>
    <w:p w14:paraId="1A730E8C" w14:textId="77777777" w:rsidR="006D2598" w:rsidRPr="001433A9" w:rsidRDefault="000C4AED" w:rsidP="00BB74E6">
      <w:pPr>
        <w:pStyle w:val="EndNoteBibliography"/>
        <w:ind w:left="720" w:hanging="720"/>
        <w:rPr>
          <w:color w:val="000000" w:themeColor="text1"/>
          <w:shd w:val="clear" w:color="auto" w:fill="FFFFFF"/>
        </w:rPr>
      </w:pPr>
      <w:r w:rsidRPr="001433A9">
        <w:rPr>
          <w:color w:val="000000" w:themeColor="text1"/>
          <w:shd w:val="clear" w:color="auto" w:fill="FFFFFF"/>
        </w:rPr>
        <w:t>Malone, K. M., Pearson, J. N., Palazzo, K. N., Manns, L. D., Rivera, A. Q., &amp; Mason</w:t>
      </w:r>
    </w:p>
    <w:p w14:paraId="2CD58E31" w14:textId="7269C848" w:rsidR="000C4AED" w:rsidRPr="001433A9" w:rsidRDefault="000C4AED" w:rsidP="006D2598">
      <w:pPr>
        <w:pStyle w:val="EndNoteBibliography"/>
        <w:ind w:left="720"/>
        <w:rPr>
          <w:noProof/>
          <w:color w:val="000000" w:themeColor="text1"/>
        </w:rPr>
      </w:pPr>
      <w:r w:rsidRPr="001433A9">
        <w:rPr>
          <w:color w:val="000000" w:themeColor="text1"/>
          <w:shd w:val="clear" w:color="auto" w:fill="FFFFFF"/>
        </w:rPr>
        <w:t xml:space="preserve">Martin, D. L. (2022). The </w:t>
      </w:r>
      <w:r w:rsidR="006C2707" w:rsidRPr="001433A9">
        <w:rPr>
          <w:color w:val="000000" w:themeColor="text1"/>
          <w:shd w:val="clear" w:color="auto" w:fill="FFFFFF"/>
        </w:rPr>
        <w:t>s</w:t>
      </w:r>
      <w:r w:rsidRPr="001433A9">
        <w:rPr>
          <w:color w:val="000000" w:themeColor="text1"/>
          <w:shd w:val="clear" w:color="auto" w:fill="FFFFFF"/>
        </w:rPr>
        <w:t xml:space="preserve">cholarly </w:t>
      </w:r>
      <w:r w:rsidR="006C2707" w:rsidRPr="001433A9">
        <w:rPr>
          <w:color w:val="000000" w:themeColor="text1"/>
          <w:shd w:val="clear" w:color="auto" w:fill="FFFFFF"/>
        </w:rPr>
        <w:t>n</w:t>
      </w:r>
      <w:r w:rsidRPr="001433A9">
        <w:rPr>
          <w:color w:val="000000" w:themeColor="text1"/>
          <w:shd w:val="clear" w:color="auto" w:fill="FFFFFF"/>
        </w:rPr>
        <w:t xml:space="preserve">eglect of Black </w:t>
      </w:r>
      <w:r w:rsidR="006C2707" w:rsidRPr="001433A9">
        <w:rPr>
          <w:color w:val="000000" w:themeColor="text1"/>
          <w:shd w:val="clear" w:color="auto" w:fill="FFFFFF"/>
        </w:rPr>
        <w:t>a</w:t>
      </w:r>
      <w:r w:rsidRPr="001433A9">
        <w:rPr>
          <w:color w:val="000000" w:themeColor="text1"/>
          <w:shd w:val="clear" w:color="auto" w:fill="FFFFFF"/>
        </w:rPr>
        <w:t xml:space="preserve">utistic </w:t>
      </w:r>
      <w:r w:rsidR="006C2707" w:rsidRPr="001433A9">
        <w:rPr>
          <w:color w:val="000000" w:themeColor="text1"/>
          <w:shd w:val="clear" w:color="auto" w:fill="FFFFFF"/>
        </w:rPr>
        <w:t>a</w:t>
      </w:r>
      <w:r w:rsidRPr="001433A9">
        <w:rPr>
          <w:color w:val="000000" w:themeColor="text1"/>
          <w:shd w:val="clear" w:color="auto" w:fill="FFFFFF"/>
        </w:rPr>
        <w:t xml:space="preserve">dults in </w:t>
      </w:r>
      <w:r w:rsidR="006C2707" w:rsidRPr="001433A9">
        <w:rPr>
          <w:color w:val="000000" w:themeColor="text1"/>
          <w:shd w:val="clear" w:color="auto" w:fill="FFFFFF"/>
        </w:rPr>
        <w:t>a</w:t>
      </w:r>
      <w:r w:rsidRPr="001433A9">
        <w:rPr>
          <w:color w:val="000000" w:themeColor="text1"/>
          <w:shd w:val="clear" w:color="auto" w:fill="FFFFFF"/>
        </w:rPr>
        <w:t xml:space="preserve">utism </w:t>
      </w:r>
      <w:r w:rsidR="006C2707" w:rsidRPr="001433A9">
        <w:rPr>
          <w:color w:val="000000" w:themeColor="text1"/>
          <w:shd w:val="clear" w:color="auto" w:fill="FFFFFF"/>
        </w:rPr>
        <w:t>r</w:t>
      </w:r>
      <w:r w:rsidRPr="001433A9">
        <w:rPr>
          <w:color w:val="000000" w:themeColor="text1"/>
          <w:shd w:val="clear" w:color="auto" w:fill="FFFFFF"/>
        </w:rPr>
        <w:t>esearch. </w:t>
      </w:r>
      <w:r w:rsidRPr="001433A9">
        <w:rPr>
          <w:i/>
          <w:iCs/>
          <w:color w:val="000000" w:themeColor="text1"/>
          <w:shd w:val="clear" w:color="auto" w:fill="FFFFFF"/>
        </w:rPr>
        <w:t>Autism in Adulthood</w:t>
      </w:r>
      <w:r w:rsidRPr="001433A9">
        <w:rPr>
          <w:color w:val="000000" w:themeColor="text1"/>
          <w:shd w:val="clear" w:color="auto" w:fill="FFFFFF"/>
        </w:rPr>
        <w:t>. https://doi.org/10.1089/aut.2021.0086</w:t>
      </w:r>
    </w:p>
    <w:p w14:paraId="1D863B0D" w14:textId="10A88A7D" w:rsidR="002614D8" w:rsidRPr="001433A9" w:rsidRDefault="00C82253" w:rsidP="00BB74E6">
      <w:pPr>
        <w:pStyle w:val="EndNoteBibliography"/>
        <w:ind w:left="720" w:hanging="720"/>
        <w:rPr>
          <w:noProof/>
          <w:color w:val="000000" w:themeColor="text1"/>
        </w:rPr>
      </w:pPr>
      <w:r w:rsidRPr="001433A9">
        <w:rPr>
          <w:noProof/>
          <w:color w:val="000000" w:themeColor="text1"/>
        </w:rPr>
        <w:t xml:space="preserve">Maye, M., Boyd, B. A., Martínez-Pedraza, F., Halladay, A., Thurm, A., &amp; Mandell, D. S. (2021). Biases, barriers, and possible solutions: Steps towards addressing autism researchers under-engagement with racially, ethnically, and socioeconomically diverse communities. </w:t>
      </w:r>
      <w:r w:rsidR="006F2B15" w:rsidRPr="001433A9">
        <w:rPr>
          <w:i/>
          <w:noProof/>
          <w:color w:val="000000" w:themeColor="text1"/>
        </w:rPr>
        <w:t>Journal of Autism and Developmental Disorders</w:t>
      </w:r>
      <w:r w:rsidRPr="001433A9">
        <w:rPr>
          <w:noProof/>
          <w:color w:val="000000" w:themeColor="text1"/>
        </w:rPr>
        <w:t xml:space="preserve">, 1-6. </w:t>
      </w:r>
      <w:r w:rsidR="002614D8" w:rsidRPr="001433A9">
        <w:rPr>
          <w:noProof/>
          <w:color w:val="000000" w:themeColor="text1"/>
        </w:rPr>
        <w:t>https://doi.org/10.1007/s10803</w:t>
      </w:r>
    </w:p>
    <w:p w14:paraId="527E33C7" w14:textId="60544FCC" w:rsidR="00C82253" w:rsidRPr="001433A9" w:rsidRDefault="00C82253" w:rsidP="002614D8">
      <w:pPr>
        <w:pStyle w:val="EndNoteBibliography"/>
        <w:ind w:left="720"/>
        <w:rPr>
          <w:noProof/>
          <w:color w:val="000000" w:themeColor="text1"/>
        </w:rPr>
      </w:pPr>
      <w:r w:rsidRPr="001433A9">
        <w:rPr>
          <w:noProof/>
          <w:color w:val="000000" w:themeColor="text1"/>
        </w:rPr>
        <w:t xml:space="preserve">-021-05250-y </w:t>
      </w:r>
    </w:p>
    <w:p w14:paraId="5C8BFC88" w14:textId="77777777" w:rsidR="00C77796" w:rsidRPr="001433A9" w:rsidRDefault="003033DD"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McGregor, K. K., Berns, A. J., Owen, A. J., Michels, S. A., Duff, D., Bahnsen, A. J., &amp; Lloyd, M. (2012). Associations between syntax and the lexicon among children with or without ASD and language impairment. </w:t>
      </w:r>
      <w:r w:rsidR="006F2B15" w:rsidRPr="001433A9">
        <w:rPr>
          <w:i/>
          <w:noProof/>
          <w:color w:val="000000" w:themeColor="text1"/>
        </w:rPr>
        <w:t>Journal of Autism and Developmental Disorders</w:t>
      </w:r>
      <w:r w:rsidR="00C82253" w:rsidRPr="001433A9">
        <w:rPr>
          <w:noProof/>
          <w:color w:val="000000" w:themeColor="text1"/>
        </w:rPr>
        <w:t>,</w:t>
      </w:r>
      <w:r w:rsidR="00C82253" w:rsidRPr="001433A9">
        <w:rPr>
          <w:i/>
          <w:noProof/>
          <w:color w:val="000000" w:themeColor="text1"/>
        </w:rPr>
        <w:t xml:space="preserve"> 42</w:t>
      </w:r>
      <w:r w:rsidR="00C82253" w:rsidRPr="001433A9">
        <w:rPr>
          <w:noProof/>
          <w:color w:val="000000" w:themeColor="text1"/>
        </w:rPr>
        <w:t>(1),</w:t>
      </w:r>
    </w:p>
    <w:p w14:paraId="4E9539E0" w14:textId="0163D2DD" w:rsidR="00C82253" w:rsidRPr="001433A9" w:rsidRDefault="00C82253" w:rsidP="00C77796">
      <w:pPr>
        <w:pStyle w:val="EndNoteBibliography"/>
        <w:ind w:left="720"/>
        <w:rPr>
          <w:noProof/>
          <w:color w:val="000000" w:themeColor="text1"/>
        </w:rPr>
      </w:pPr>
      <w:r w:rsidRPr="001433A9">
        <w:rPr>
          <w:noProof/>
          <w:color w:val="000000" w:themeColor="text1"/>
        </w:rPr>
        <w:t xml:space="preserve">35-47. </w:t>
      </w:r>
    </w:p>
    <w:p w14:paraId="4C93C8F9" w14:textId="77777777" w:rsidR="00A404FE" w:rsidRPr="001433A9" w:rsidRDefault="00BA43C5"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Minshew, N. J., Goldstein, G., &amp; Siegel, D. J. (1995). Speech and language in high-functioning</w:t>
      </w:r>
    </w:p>
    <w:p w14:paraId="4DDA2562" w14:textId="513A7CEE" w:rsidR="00C82253" w:rsidRPr="001433A9" w:rsidRDefault="00C82253" w:rsidP="00A404FE">
      <w:pPr>
        <w:pStyle w:val="EndNoteBibliography"/>
        <w:ind w:left="720"/>
        <w:rPr>
          <w:noProof/>
          <w:color w:val="000000" w:themeColor="text1"/>
          <w:lang w:val="fr-FR"/>
        </w:rPr>
      </w:pPr>
      <w:r w:rsidRPr="001433A9">
        <w:rPr>
          <w:noProof/>
          <w:color w:val="000000" w:themeColor="text1"/>
          <w:lang w:val="fr-FR"/>
        </w:rPr>
        <w:t xml:space="preserve">autistic individuals. </w:t>
      </w:r>
      <w:r w:rsidRPr="001433A9">
        <w:rPr>
          <w:i/>
          <w:noProof/>
          <w:color w:val="000000" w:themeColor="text1"/>
          <w:lang w:val="fr-FR"/>
        </w:rPr>
        <w:t>Neuropsychology</w:t>
      </w:r>
      <w:r w:rsidRPr="001433A9">
        <w:rPr>
          <w:noProof/>
          <w:color w:val="000000" w:themeColor="text1"/>
          <w:lang w:val="fr-FR"/>
        </w:rPr>
        <w:t>,</w:t>
      </w:r>
      <w:r w:rsidRPr="001433A9">
        <w:rPr>
          <w:i/>
          <w:noProof/>
          <w:color w:val="000000" w:themeColor="text1"/>
          <w:lang w:val="fr-FR"/>
        </w:rPr>
        <w:t xml:space="preserve"> 9</w:t>
      </w:r>
      <w:r w:rsidRPr="001433A9">
        <w:rPr>
          <w:noProof/>
          <w:color w:val="000000" w:themeColor="text1"/>
          <w:lang w:val="fr-FR"/>
        </w:rPr>
        <w:t xml:space="preserve">(2), 255. https://doi.org/10.1037/0894-4105.9.2.255 </w:t>
      </w:r>
    </w:p>
    <w:p w14:paraId="44D906BB" w14:textId="6BEA638C" w:rsidR="00C82253" w:rsidRPr="001433A9" w:rsidRDefault="00333BCE"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Modyanova, N., Perovic, A., &amp; Wexler, K. (2017). Grammar Is differentially impaired in subgroups of Autism Spectrum Disorders: Evidence from an investigation of tense </w:t>
      </w:r>
      <w:r w:rsidR="00C82253" w:rsidRPr="001433A9">
        <w:rPr>
          <w:noProof/>
          <w:color w:val="000000" w:themeColor="text1"/>
        </w:rPr>
        <w:lastRenderedPageBreak/>
        <w:t xml:space="preserve">marking and morphosyntax. </w:t>
      </w:r>
      <w:r w:rsidR="00C82253" w:rsidRPr="001433A9">
        <w:rPr>
          <w:i/>
          <w:noProof/>
          <w:color w:val="000000" w:themeColor="text1"/>
        </w:rPr>
        <w:t>Frontiers in Psychology,</w:t>
      </w:r>
      <w:r w:rsidR="00C82253" w:rsidRPr="001433A9">
        <w:rPr>
          <w:noProof/>
          <w:color w:val="000000" w:themeColor="text1"/>
        </w:rPr>
        <w:t>,</w:t>
      </w:r>
      <w:r w:rsidR="00C82253" w:rsidRPr="001433A9">
        <w:rPr>
          <w:i/>
          <w:noProof/>
          <w:color w:val="000000" w:themeColor="text1"/>
        </w:rPr>
        <w:t xml:space="preserve"> 8</w:t>
      </w:r>
      <w:r w:rsidR="00C82253" w:rsidRPr="001433A9">
        <w:rPr>
          <w:noProof/>
          <w:color w:val="000000" w:themeColor="text1"/>
        </w:rPr>
        <w:t xml:space="preserve">, 320. https://doi.org/10.3389/fpsyg.2017.00320 </w:t>
      </w:r>
    </w:p>
    <w:p w14:paraId="04B8434F" w14:textId="77777777" w:rsidR="00173690" w:rsidRPr="001433A9" w:rsidRDefault="00956F84"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Nadig, A., &amp; Mulligan, A. (2017). Intact non-word repetition and similar error patterns in</w:t>
      </w:r>
    </w:p>
    <w:p w14:paraId="737572C1" w14:textId="77777777" w:rsidR="00173690" w:rsidRPr="001433A9" w:rsidRDefault="00C82253" w:rsidP="00173690">
      <w:pPr>
        <w:pStyle w:val="EndNoteBibliography"/>
        <w:ind w:left="720"/>
        <w:rPr>
          <w:i/>
          <w:noProof/>
          <w:color w:val="000000" w:themeColor="text1"/>
        </w:rPr>
      </w:pPr>
      <w:r w:rsidRPr="001433A9">
        <w:rPr>
          <w:noProof/>
          <w:color w:val="000000" w:themeColor="text1"/>
        </w:rPr>
        <w:t xml:space="preserve">language-matched children with autism spectrum disorders: A pilot study. </w:t>
      </w:r>
      <w:r w:rsidRPr="001433A9">
        <w:rPr>
          <w:i/>
          <w:noProof/>
          <w:color w:val="000000" w:themeColor="text1"/>
        </w:rPr>
        <w:t>Journal of</w:t>
      </w:r>
    </w:p>
    <w:p w14:paraId="54E3FD83" w14:textId="7BC0526A" w:rsidR="00C82253" w:rsidRPr="001433A9" w:rsidRDefault="00C82253" w:rsidP="00173690">
      <w:pPr>
        <w:pStyle w:val="EndNoteBibliography"/>
        <w:ind w:left="720"/>
        <w:rPr>
          <w:noProof/>
          <w:color w:val="000000" w:themeColor="text1"/>
        </w:rPr>
      </w:pPr>
      <w:r w:rsidRPr="001433A9">
        <w:rPr>
          <w:i/>
          <w:noProof/>
          <w:color w:val="000000" w:themeColor="text1"/>
        </w:rPr>
        <w:t>Communication Disorders</w:t>
      </w:r>
      <w:r w:rsidRPr="001433A9">
        <w:rPr>
          <w:noProof/>
          <w:color w:val="000000" w:themeColor="text1"/>
        </w:rPr>
        <w:t>,</w:t>
      </w:r>
      <w:r w:rsidRPr="001433A9">
        <w:rPr>
          <w:i/>
          <w:noProof/>
          <w:color w:val="000000" w:themeColor="text1"/>
        </w:rPr>
        <w:t xml:space="preserve"> 66</w:t>
      </w:r>
      <w:r w:rsidRPr="001433A9">
        <w:rPr>
          <w:noProof/>
          <w:color w:val="000000" w:themeColor="text1"/>
        </w:rPr>
        <w:t xml:space="preserve">, 13-21. https://doi.org/10.1016/j.jcomdis.2017.03.003 </w:t>
      </w:r>
    </w:p>
    <w:p w14:paraId="498172AA" w14:textId="77777777" w:rsidR="00C82253" w:rsidRPr="001433A9" w:rsidRDefault="00C82253" w:rsidP="00BB74E6">
      <w:pPr>
        <w:pStyle w:val="EndNoteBibliography"/>
        <w:ind w:left="720" w:hanging="720"/>
        <w:rPr>
          <w:noProof/>
          <w:color w:val="000000" w:themeColor="text1"/>
        </w:rPr>
      </w:pPr>
      <w:r w:rsidRPr="001433A9">
        <w:rPr>
          <w:noProof/>
          <w:color w:val="000000" w:themeColor="text1"/>
        </w:rPr>
        <w:t xml:space="preserve">National Institutes of Health. (2021). </w:t>
      </w:r>
      <w:r w:rsidRPr="001433A9">
        <w:rPr>
          <w:i/>
          <w:noProof/>
          <w:color w:val="000000" w:themeColor="text1"/>
        </w:rPr>
        <w:t>NIH-wide strategic plan for fiscal years 2021-2025</w:t>
      </w:r>
      <w:r w:rsidRPr="001433A9">
        <w:rPr>
          <w:noProof/>
          <w:color w:val="000000" w:themeColor="text1"/>
        </w:rPr>
        <w:t>. https://www.nih.gov/sites/default/files/about-nih/strategic-plan-fy2021-2025-508.pdf</w:t>
      </w:r>
    </w:p>
    <w:p w14:paraId="0618C911" w14:textId="4C2640DB" w:rsidR="00C82253" w:rsidRPr="001433A9" w:rsidRDefault="006A517C"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Nevill, R., Hedley, D., Uljarević, M., Sahin, E., Zadek, J., Butter, E., &amp; Mulick, J. A. (2019). Language profiles in young children with autism spectrum disorder: A community sample using multiple assessment instruments. </w:t>
      </w:r>
      <w:r w:rsidR="00C82253" w:rsidRPr="001433A9">
        <w:rPr>
          <w:i/>
          <w:noProof/>
          <w:color w:val="000000" w:themeColor="text1"/>
        </w:rPr>
        <w:t>Autism</w:t>
      </w:r>
      <w:r w:rsidR="00C82253" w:rsidRPr="001433A9">
        <w:rPr>
          <w:noProof/>
          <w:color w:val="000000" w:themeColor="text1"/>
        </w:rPr>
        <w:t>,</w:t>
      </w:r>
      <w:r w:rsidR="00C82253" w:rsidRPr="001433A9">
        <w:rPr>
          <w:i/>
          <w:noProof/>
          <w:color w:val="000000" w:themeColor="text1"/>
        </w:rPr>
        <w:t xml:space="preserve"> 23</w:t>
      </w:r>
      <w:r w:rsidR="00C82253" w:rsidRPr="001433A9">
        <w:rPr>
          <w:noProof/>
          <w:color w:val="000000" w:themeColor="text1"/>
        </w:rPr>
        <w:t xml:space="preserve">(1), 141-153. https://doi.org/10.1177/1362361317726245 </w:t>
      </w:r>
    </w:p>
    <w:p w14:paraId="738C827A" w14:textId="77777777" w:rsidR="000E578E" w:rsidRPr="001433A9" w:rsidRDefault="00C82253" w:rsidP="00BB74E6">
      <w:pPr>
        <w:pStyle w:val="EndNoteBibliography"/>
        <w:ind w:left="720" w:hanging="720"/>
        <w:rPr>
          <w:noProof/>
          <w:color w:val="000000" w:themeColor="text1"/>
        </w:rPr>
      </w:pPr>
      <w:r w:rsidRPr="001433A9">
        <w:rPr>
          <w:noProof/>
          <w:color w:val="000000" w:themeColor="text1"/>
        </w:rPr>
        <w:t>Norbury, C. F., Gooch, D., Wray, C., Baird, G., Charman, T., Simonoff, E., Vamvakas, G., &amp;</w:t>
      </w:r>
    </w:p>
    <w:p w14:paraId="7D04B545" w14:textId="77777777" w:rsidR="000E578E" w:rsidRPr="001433A9" w:rsidRDefault="00C82253" w:rsidP="000E578E">
      <w:pPr>
        <w:pStyle w:val="EndNoteBibliography"/>
        <w:ind w:left="720"/>
        <w:rPr>
          <w:noProof/>
          <w:color w:val="000000" w:themeColor="text1"/>
        </w:rPr>
      </w:pPr>
      <w:r w:rsidRPr="001433A9">
        <w:rPr>
          <w:noProof/>
          <w:color w:val="000000" w:themeColor="text1"/>
        </w:rPr>
        <w:t>Pickles, A. (2016). The impact of nonverbal ability on prevalence and clinical</w:t>
      </w:r>
    </w:p>
    <w:p w14:paraId="7FE63477" w14:textId="38AB138D" w:rsidR="00C82253" w:rsidRPr="001433A9" w:rsidRDefault="00C82253" w:rsidP="000E578E">
      <w:pPr>
        <w:pStyle w:val="EndNoteBibliography"/>
        <w:ind w:left="720"/>
        <w:rPr>
          <w:noProof/>
          <w:color w:val="000000" w:themeColor="text1"/>
        </w:rPr>
      </w:pPr>
      <w:r w:rsidRPr="001433A9">
        <w:rPr>
          <w:noProof/>
          <w:color w:val="000000" w:themeColor="text1"/>
        </w:rPr>
        <w:t xml:space="preserve">presentation of language disorder: evidence from a population study. </w:t>
      </w:r>
      <w:r w:rsidRPr="001433A9">
        <w:rPr>
          <w:i/>
          <w:noProof/>
          <w:color w:val="000000" w:themeColor="text1"/>
        </w:rPr>
        <w:t>Journal of Child Psychology and Psychiatry</w:t>
      </w:r>
      <w:r w:rsidRPr="001433A9">
        <w:rPr>
          <w:noProof/>
          <w:color w:val="000000" w:themeColor="text1"/>
        </w:rPr>
        <w:t>,</w:t>
      </w:r>
      <w:r w:rsidRPr="001433A9">
        <w:rPr>
          <w:i/>
          <w:noProof/>
          <w:color w:val="000000" w:themeColor="text1"/>
        </w:rPr>
        <w:t xml:space="preserve"> 57</w:t>
      </w:r>
      <w:r w:rsidRPr="001433A9">
        <w:rPr>
          <w:noProof/>
          <w:color w:val="000000" w:themeColor="text1"/>
        </w:rPr>
        <w:t xml:space="preserve">(11), 1247-1257. https://doi.org/10.1111/jcpp.12573 </w:t>
      </w:r>
    </w:p>
    <w:p w14:paraId="38A9E013" w14:textId="41EBDB84" w:rsidR="00D1609E" w:rsidRPr="001433A9" w:rsidRDefault="00D1609E" w:rsidP="00BB74E6">
      <w:pPr>
        <w:pStyle w:val="EndNoteBibliography"/>
        <w:ind w:left="720" w:hanging="720"/>
        <w:rPr>
          <w:noProof/>
          <w:color w:val="000000" w:themeColor="text1"/>
        </w:rPr>
      </w:pPr>
      <w:r w:rsidRPr="001433A9">
        <w:rPr>
          <w:noProof/>
          <w:color w:val="000000" w:themeColor="text1"/>
        </w:rPr>
        <w:t>Oetting, J. B. (2020</w:t>
      </w:r>
      <w:r w:rsidR="004E0E5B" w:rsidRPr="001433A9">
        <w:rPr>
          <w:noProof/>
          <w:color w:val="000000" w:themeColor="text1"/>
        </w:rPr>
        <w:t>)</w:t>
      </w:r>
      <w:r w:rsidRPr="001433A9">
        <w:rPr>
          <w:noProof/>
          <w:color w:val="000000" w:themeColor="text1"/>
        </w:rPr>
        <w:t xml:space="preserve">. From my perspective/opinion: General American English as a dialect: A call for change. </w:t>
      </w:r>
      <w:r w:rsidRPr="001433A9">
        <w:rPr>
          <w:i/>
          <w:iCs/>
          <w:noProof/>
          <w:color w:val="000000" w:themeColor="text1"/>
        </w:rPr>
        <w:t>ASHA Leader</w:t>
      </w:r>
      <w:r w:rsidRPr="001433A9">
        <w:rPr>
          <w:noProof/>
          <w:color w:val="000000" w:themeColor="text1"/>
        </w:rPr>
        <w:t>. https://leader.pubs.asha.org/do/10.1044/leader.FMP.25112020.12/</w:t>
      </w:r>
    </w:p>
    <w:p w14:paraId="6070D17B" w14:textId="65639722" w:rsidR="001502F5" w:rsidRPr="001433A9" w:rsidRDefault="00C82253" w:rsidP="00BB74E6">
      <w:pPr>
        <w:pStyle w:val="EndNoteBibliography"/>
        <w:ind w:left="720" w:hanging="720"/>
        <w:rPr>
          <w:i/>
          <w:noProof/>
          <w:color w:val="000000" w:themeColor="text1"/>
        </w:rPr>
      </w:pPr>
      <w:r w:rsidRPr="001433A9">
        <w:rPr>
          <w:noProof/>
          <w:color w:val="000000" w:themeColor="text1"/>
        </w:rPr>
        <w:t xml:space="preserve">Office of Management and Budget. (1997). </w:t>
      </w:r>
      <w:r w:rsidRPr="001433A9">
        <w:rPr>
          <w:i/>
          <w:noProof/>
          <w:color w:val="000000" w:themeColor="text1"/>
        </w:rPr>
        <w:t>Revisions to the Standards for the Classification of</w:t>
      </w:r>
    </w:p>
    <w:p w14:paraId="5E39CB8A" w14:textId="74F2A57C" w:rsidR="001502F5" w:rsidRPr="001433A9" w:rsidRDefault="00C82253" w:rsidP="001502F5">
      <w:pPr>
        <w:pStyle w:val="EndNoteBibliography"/>
        <w:ind w:left="720"/>
        <w:rPr>
          <w:noProof/>
          <w:color w:val="000000" w:themeColor="text1"/>
        </w:rPr>
      </w:pPr>
      <w:r w:rsidRPr="001433A9">
        <w:rPr>
          <w:i/>
          <w:noProof/>
          <w:color w:val="000000" w:themeColor="text1"/>
        </w:rPr>
        <w:t>Federal Data on Race and Ethnicity</w:t>
      </w:r>
      <w:r w:rsidRPr="001433A9">
        <w:rPr>
          <w:noProof/>
          <w:color w:val="000000" w:themeColor="text1"/>
        </w:rPr>
        <w:t xml:space="preserve"> (Federal Register Notice, Issue.</w:t>
      </w:r>
    </w:p>
    <w:p w14:paraId="3D77A846" w14:textId="3907200A" w:rsidR="00C82253" w:rsidRPr="001433A9" w:rsidRDefault="00C82253" w:rsidP="001502F5">
      <w:pPr>
        <w:pStyle w:val="EndNoteBibliography"/>
        <w:ind w:left="720"/>
        <w:rPr>
          <w:noProof/>
          <w:color w:val="000000" w:themeColor="text1"/>
        </w:rPr>
      </w:pPr>
      <w:r w:rsidRPr="001433A9">
        <w:rPr>
          <w:noProof/>
          <w:color w:val="000000" w:themeColor="text1"/>
        </w:rPr>
        <w:t>https://obamawhitehouse.archives.gov/omb/fedreg_1997standards</w:t>
      </w:r>
    </w:p>
    <w:p w14:paraId="5401CAC3" w14:textId="77777777" w:rsidR="002707CB" w:rsidRPr="001433A9" w:rsidRDefault="00C82253" w:rsidP="00BB74E6">
      <w:pPr>
        <w:pStyle w:val="EndNoteBibliography"/>
        <w:ind w:left="720" w:hanging="720"/>
        <w:rPr>
          <w:noProof/>
          <w:color w:val="000000" w:themeColor="text1"/>
        </w:rPr>
      </w:pPr>
      <w:r w:rsidRPr="001433A9">
        <w:rPr>
          <w:noProof/>
          <w:color w:val="000000" w:themeColor="text1"/>
        </w:rPr>
        <w:t>Page, M. J., McKenzie, J. E., Bossuyt, P. M., Boutron, I., Hoffmann, T. C., Mulrow, C. D.,</w:t>
      </w:r>
    </w:p>
    <w:p w14:paraId="327F66C3" w14:textId="6F1C5986" w:rsidR="00C82253" w:rsidRPr="001433A9" w:rsidRDefault="00C82253" w:rsidP="002707CB">
      <w:pPr>
        <w:pStyle w:val="EndNoteBibliography"/>
        <w:ind w:left="720"/>
        <w:rPr>
          <w:noProof/>
          <w:color w:val="000000" w:themeColor="text1"/>
        </w:rPr>
      </w:pPr>
      <w:r w:rsidRPr="001433A9">
        <w:rPr>
          <w:noProof/>
          <w:color w:val="000000" w:themeColor="text1"/>
        </w:rPr>
        <w:t xml:space="preserve">Shamseer, L., Tetzlaff, J. M., Akl, E. A., Brennan, S. E., Chou, R., Glanville, J., Grimshaw, J. M., Hróbjartsson, A., Lalu, M. M., Li, T., Loder, E. W., Mayo-Wilson, E., McDonald, S., . . . Moher, D. (2021). The PRISMA 2020 statement: An updated guideline for reporting systematic reviews. </w:t>
      </w:r>
      <w:r w:rsidRPr="001433A9">
        <w:rPr>
          <w:i/>
          <w:noProof/>
          <w:color w:val="000000" w:themeColor="text1"/>
        </w:rPr>
        <w:t>PLoS Med</w:t>
      </w:r>
      <w:r w:rsidRPr="001433A9">
        <w:rPr>
          <w:noProof/>
          <w:color w:val="000000" w:themeColor="text1"/>
        </w:rPr>
        <w:t>,</w:t>
      </w:r>
      <w:r w:rsidRPr="001433A9">
        <w:rPr>
          <w:i/>
          <w:noProof/>
          <w:color w:val="000000" w:themeColor="text1"/>
        </w:rPr>
        <w:t xml:space="preserve"> 18</w:t>
      </w:r>
      <w:r w:rsidRPr="001433A9">
        <w:rPr>
          <w:noProof/>
          <w:color w:val="000000" w:themeColor="text1"/>
        </w:rPr>
        <w:t xml:space="preserve">(3), e1003583. https://doi.org/10.1371/journal.pmed.1003583 </w:t>
      </w:r>
    </w:p>
    <w:p w14:paraId="3C922AEE" w14:textId="77777777" w:rsidR="000778C9" w:rsidRPr="001433A9" w:rsidRDefault="003033DD"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Paul, R., Chawarska, K., Cicchetti, D., &amp; Volkmar, F. (2008). Language outcomes of toddlers</w:t>
      </w:r>
    </w:p>
    <w:p w14:paraId="5C961ECE" w14:textId="4E85B6B7" w:rsidR="00C82253" w:rsidRPr="001433A9" w:rsidRDefault="00C82253" w:rsidP="000778C9">
      <w:pPr>
        <w:pStyle w:val="EndNoteBibliography"/>
        <w:ind w:left="720"/>
        <w:rPr>
          <w:noProof/>
          <w:color w:val="000000" w:themeColor="text1"/>
        </w:rPr>
      </w:pPr>
      <w:r w:rsidRPr="001433A9">
        <w:rPr>
          <w:noProof/>
          <w:color w:val="000000" w:themeColor="text1"/>
        </w:rPr>
        <w:t xml:space="preserve">with autism spectrum disorders: A two year follow‐up. </w:t>
      </w:r>
      <w:r w:rsidRPr="001433A9">
        <w:rPr>
          <w:i/>
          <w:noProof/>
          <w:color w:val="000000" w:themeColor="text1"/>
        </w:rPr>
        <w:t>Autism Research</w:t>
      </w:r>
      <w:r w:rsidRPr="001433A9">
        <w:rPr>
          <w:noProof/>
          <w:color w:val="000000" w:themeColor="text1"/>
        </w:rPr>
        <w:t>,</w:t>
      </w:r>
      <w:r w:rsidRPr="001433A9">
        <w:rPr>
          <w:i/>
          <w:noProof/>
          <w:color w:val="000000" w:themeColor="text1"/>
        </w:rPr>
        <w:t xml:space="preserve"> 1</w:t>
      </w:r>
      <w:r w:rsidRPr="001433A9">
        <w:rPr>
          <w:noProof/>
          <w:color w:val="000000" w:themeColor="text1"/>
        </w:rPr>
        <w:t xml:space="preserve">(2), 97-107. https://doi.org/10.1002/aur.12 </w:t>
      </w:r>
    </w:p>
    <w:p w14:paraId="1068FE11" w14:textId="77777777" w:rsidR="00133735" w:rsidRPr="001433A9" w:rsidRDefault="00485E09"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Perovic, A., Modyanova, N., &amp; Wexler, K. (2013). Comparison of grammar in</w:t>
      </w:r>
    </w:p>
    <w:p w14:paraId="78DE3383" w14:textId="26E79204" w:rsidR="006D2598" w:rsidRPr="001433A9" w:rsidRDefault="00C82253" w:rsidP="00133735">
      <w:pPr>
        <w:pStyle w:val="EndNoteBibliography"/>
        <w:ind w:left="720"/>
        <w:rPr>
          <w:noProof/>
          <w:color w:val="000000" w:themeColor="text1"/>
        </w:rPr>
      </w:pPr>
      <w:r w:rsidRPr="001433A9">
        <w:rPr>
          <w:noProof/>
          <w:color w:val="000000" w:themeColor="text1"/>
        </w:rPr>
        <w:t xml:space="preserve">neurodevelopmental disorders: The case of binding in Williams syndrome and autism with and without language impairment. </w:t>
      </w:r>
      <w:r w:rsidRPr="001433A9">
        <w:rPr>
          <w:i/>
          <w:noProof/>
          <w:color w:val="000000" w:themeColor="text1"/>
        </w:rPr>
        <w:t>Language Acquisition</w:t>
      </w:r>
      <w:r w:rsidRPr="001433A9">
        <w:rPr>
          <w:noProof/>
          <w:color w:val="000000" w:themeColor="text1"/>
        </w:rPr>
        <w:t>,</w:t>
      </w:r>
      <w:r w:rsidRPr="001433A9">
        <w:rPr>
          <w:i/>
          <w:noProof/>
          <w:color w:val="000000" w:themeColor="text1"/>
        </w:rPr>
        <w:t xml:space="preserve"> 20</w:t>
      </w:r>
      <w:r w:rsidRPr="001433A9">
        <w:rPr>
          <w:noProof/>
          <w:color w:val="000000" w:themeColor="text1"/>
        </w:rPr>
        <w:t>(2), 133-154.</w:t>
      </w:r>
    </w:p>
    <w:p w14:paraId="0628A81F" w14:textId="7F6B1801" w:rsidR="00C82253" w:rsidRPr="001433A9" w:rsidRDefault="00C82253" w:rsidP="006D2598">
      <w:pPr>
        <w:pStyle w:val="EndNoteBibliography"/>
        <w:ind w:left="720"/>
        <w:rPr>
          <w:noProof/>
          <w:color w:val="000000" w:themeColor="text1"/>
        </w:rPr>
      </w:pPr>
      <w:r w:rsidRPr="001433A9">
        <w:rPr>
          <w:noProof/>
          <w:color w:val="000000" w:themeColor="text1"/>
        </w:rPr>
        <w:t xml:space="preserve">https://doi.org/10.1080/10489223.2013.766742 </w:t>
      </w:r>
    </w:p>
    <w:p w14:paraId="5ED8A6D2" w14:textId="77777777" w:rsidR="002614D8" w:rsidRPr="001433A9" w:rsidRDefault="00956F84"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Plesa Skwerer, D., Jordan, S. E., Brukilacchio, B. H., &amp; Tager-Flusberg, H. (2016). Comparing methods for assessing receptive language skills in minimally verbal children and adolescents with autism spectrum disorders. </w:t>
      </w:r>
      <w:r w:rsidR="00C82253" w:rsidRPr="001433A9">
        <w:rPr>
          <w:i/>
          <w:noProof/>
          <w:color w:val="000000" w:themeColor="text1"/>
        </w:rPr>
        <w:t>Autism</w:t>
      </w:r>
      <w:r w:rsidR="00C82253" w:rsidRPr="001433A9">
        <w:rPr>
          <w:noProof/>
          <w:color w:val="000000" w:themeColor="text1"/>
        </w:rPr>
        <w:t>,</w:t>
      </w:r>
      <w:r w:rsidR="00C82253" w:rsidRPr="001433A9">
        <w:rPr>
          <w:i/>
          <w:noProof/>
          <w:color w:val="000000" w:themeColor="text1"/>
        </w:rPr>
        <w:t xml:space="preserve"> 20</w:t>
      </w:r>
      <w:r w:rsidR="00C82253" w:rsidRPr="001433A9">
        <w:rPr>
          <w:noProof/>
          <w:color w:val="000000" w:themeColor="text1"/>
        </w:rPr>
        <w:t>(5), 591-604.</w:t>
      </w:r>
    </w:p>
    <w:p w14:paraId="3399F9EE" w14:textId="3884BE40" w:rsidR="00C82253" w:rsidRPr="001433A9" w:rsidRDefault="00C82253" w:rsidP="00BB74E6">
      <w:pPr>
        <w:pStyle w:val="EndNoteBibliography"/>
        <w:ind w:left="720" w:hanging="720"/>
        <w:rPr>
          <w:noProof/>
          <w:color w:val="000000" w:themeColor="text1"/>
        </w:rPr>
      </w:pPr>
      <w:r w:rsidRPr="001433A9">
        <w:rPr>
          <w:noProof/>
          <w:color w:val="000000" w:themeColor="text1"/>
        </w:rPr>
        <w:t xml:space="preserve"> </w:t>
      </w:r>
      <w:r w:rsidR="002614D8" w:rsidRPr="001433A9">
        <w:rPr>
          <w:noProof/>
          <w:color w:val="000000" w:themeColor="text1"/>
        </w:rPr>
        <w:tab/>
      </w:r>
      <w:r w:rsidRPr="001433A9">
        <w:rPr>
          <w:noProof/>
          <w:color w:val="000000" w:themeColor="text1"/>
        </w:rPr>
        <w:t xml:space="preserve">https://doi.org/10.1177/1362361315600146 </w:t>
      </w:r>
    </w:p>
    <w:p w14:paraId="6F511EC6" w14:textId="77777777" w:rsidR="00C77796" w:rsidRPr="001433A9" w:rsidRDefault="007111FA" w:rsidP="00BB74E6">
      <w:pPr>
        <w:pStyle w:val="EndNoteBibliography"/>
        <w:ind w:left="720" w:hanging="720"/>
        <w:rPr>
          <w:color w:val="000000" w:themeColor="text1"/>
          <w:shd w:val="clear" w:color="auto" w:fill="FFFFFF"/>
        </w:rPr>
      </w:pPr>
      <w:r w:rsidRPr="001433A9">
        <w:rPr>
          <w:color w:val="000000" w:themeColor="text1"/>
          <w:shd w:val="clear" w:color="auto" w:fill="FFFFFF"/>
        </w:rPr>
        <w:t>*Prescott, K. E., &amp; Ellis Weismer, S. (2022). Children with ASD and communication regression:</w:t>
      </w:r>
    </w:p>
    <w:p w14:paraId="341E3A21" w14:textId="77777777" w:rsidR="00C77796" w:rsidRPr="001433A9" w:rsidRDefault="007111FA" w:rsidP="00C77796">
      <w:pPr>
        <w:pStyle w:val="EndNoteBibliography"/>
        <w:ind w:left="720"/>
        <w:rPr>
          <w:color w:val="000000" w:themeColor="text1"/>
          <w:shd w:val="clear" w:color="auto" w:fill="FFFFFF"/>
        </w:rPr>
      </w:pPr>
      <w:r w:rsidRPr="001433A9">
        <w:rPr>
          <w:color w:val="000000" w:themeColor="text1"/>
          <w:shd w:val="clear" w:color="auto" w:fill="FFFFFF"/>
        </w:rPr>
        <w:t xml:space="preserve">Examining pre-loss skills and later language </w:t>
      </w:r>
      <w:r w:rsidR="001A4069" w:rsidRPr="001433A9">
        <w:rPr>
          <w:color w:val="000000" w:themeColor="text1"/>
          <w:shd w:val="clear" w:color="auto" w:fill="FFFFFF"/>
        </w:rPr>
        <w:t>o</w:t>
      </w:r>
      <w:r w:rsidRPr="001433A9">
        <w:rPr>
          <w:color w:val="000000" w:themeColor="text1"/>
          <w:shd w:val="clear" w:color="auto" w:fill="FFFFFF"/>
        </w:rPr>
        <w:t xml:space="preserve">utcomes </w:t>
      </w:r>
      <w:r w:rsidR="001A4069" w:rsidRPr="001433A9">
        <w:rPr>
          <w:color w:val="000000" w:themeColor="text1"/>
          <w:shd w:val="clear" w:color="auto" w:fill="FFFFFF"/>
        </w:rPr>
        <w:t>t</w:t>
      </w:r>
      <w:r w:rsidRPr="001433A9">
        <w:rPr>
          <w:color w:val="000000" w:themeColor="text1"/>
          <w:shd w:val="clear" w:color="auto" w:fill="FFFFFF"/>
        </w:rPr>
        <w:t>hrough the preschool</w:t>
      </w:r>
    </w:p>
    <w:p w14:paraId="3C63C16B" w14:textId="06A8D2BE" w:rsidR="007111FA" w:rsidRPr="001433A9" w:rsidRDefault="007111FA" w:rsidP="00C77796">
      <w:pPr>
        <w:pStyle w:val="EndNoteBibliography"/>
        <w:ind w:left="720"/>
        <w:rPr>
          <w:noProof/>
          <w:color w:val="000000" w:themeColor="text1"/>
        </w:rPr>
      </w:pPr>
      <w:r w:rsidRPr="001433A9">
        <w:rPr>
          <w:color w:val="000000" w:themeColor="text1"/>
          <w:shd w:val="clear" w:color="auto" w:fill="FFFFFF"/>
        </w:rPr>
        <w:t>years. </w:t>
      </w:r>
      <w:r w:rsidR="006F2B15" w:rsidRPr="001433A9">
        <w:rPr>
          <w:i/>
          <w:iCs/>
          <w:color w:val="000000" w:themeColor="text1"/>
          <w:shd w:val="clear" w:color="auto" w:fill="FFFFFF"/>
        </w:rPr>
        <w:t>Journal of Autism and Developmental Disorders</w:t>
      </w:r>
      <w:r w:rsidRPr="001433A9">
        <w:rPr>
          <w:color w:val="000000" w:themeColor="text1"/>
          <w:shd w:val="clear" w:color="auto" w:fill="FFFFFF"/>
        </w:rPr>
        <w:t>, </w:t>
      </w:r>
      <w:r w:rsidRPr="001433A9">
        <w:rPr>
          <w:i/>
          <w:iCs/>
          <w:color w:val="000000" w:themeColor="text1"/>
          <w:shd w:val="clear" w:color="auto" w:fill="FFFFFF"/>
        </w:rPr>
        <w:t>52</w:t>
      </w:r>
      <w:r w:rsidRPr="001433A9">
        <w:rPr>
          <w:color w:val="000000" w:themeColor="text1"/>
          <w:shd w:val="clear" w:color="auto" w:fill="FFFFFF"/>
        </w:rPr>
        <w:t>(5), 1956-1970.</w:t>
      </w:r>
    </w:p>
    <w:p w14:paraId="52777629" w14:textId="77777777" w:rsidR="00A404FE" w:rsidRPr="001433A9" w:rsidRDefault="007111FA"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Prescott, K. E., &amp; Ellis Weismer, S. (2022). Children with ASD and communication regression:</w:t>
      </w:r>
    </w:p>
    <w:p w14:paraId="27495917" w14:textId="77777777" w:rsidR="00A404FE" w:rsidRPr="001433A9" w:rsidRDefault="00C82253" w:rsidP="00A404FE">
      <w:pPr>
        <w:pStyle w:val="EndNoteBibliography"/>
        <w:ind w:left="720"/>
        <w:rPr>
          <w:noProof/>
          <w:color w:val="000000" w:themeColor="text1"/>
        </w:rPr>
      </w:pPr>
      <w:r w:rsidRPr="001433A9">
        <w:rPr>
          <w:noProof/>
          <w:color w:val="000000" w:themeColor="text1"/>
        </w:rPr>
        <w:t>Examining pre-loss skills and later language outcomes through the preschool years.</w:t>
      </w:r>
    </w:p>
    <w:p w14:paraId="3515F687" w14:textId="36F6282F" w:rsidR="00C82253" w:rsidRPr="001433A9" w:rsidRDefault="006F2B15" w:rsidP="00A404FE">
      <w:pPr>
        <w:pStyle w:val="EndNoteBibliography"/>
        <w:ind w:left="720"/>
        <w:rPr>
          <w:noProof/>
          <w:color w:val="000000" w:themeColor="text1"/>
        </w:rPr>
      </w:pPr>
      <w:r w:rsidRPr="001433A9">
        <w:rPr>
          <w:i/>
          <w:noProof/>
          <w:color w:val="000000" w:themeColor="text1"/>
        </w:rPr>
        <w:t>Journal of Autism and Developmental Disorders</w:t>
      </w:r>
      <w:r w:rsidR="00C82253" w:rsidRPr="001433A9">
        <w:rPr>
          <w:noProof/>
          <w:color w:val="000000" w:themeColor="text1"/>
        </w:rPr>
        <w:t>,</w:t>
      </w:r>
      <w:r w:rsidR="00C82253" w:rsidRPr="001433A9">
        <w:rPr>
          <w:i/>
          <w:noProof/>
          <w:color w:val="000000" w:themeColor="text1"/>
        </w:rPr>
        <w:t xml:space="preserve"> 52</w:t>
      </w:r>
      <w:r w:rsidR="00C82253" w:rsidRPr="001433A9">
        <w:rPr>
          <w:noProof/>
          <w:color w:val="000000" w:themeColor="text1"/>
        </w:rPr>
        <w:t xml:space="preserve">(5), 1956-1970. https://doi.org/10.1007/s10803-021-05098-2 </w:t>
      </w:r>
    </w:p>
    <w:p w14:paraId="3ECA734C" w14:textId="77777777" w:rsidR="00C64663" w:rsidRPr="001433A9" w:rsidRDefault="00C91228" w:rsidP="00BB74E6">
      <w:pPr>
        <w:pStyle w:val="EndNoteBibliography"/>
        <w:ind w:left="720" w:hanging="720"/>
        <w:rPr>
          <w:color w:val="000000" w:themeColor="text1"/>
          <w:shd w:val="clear" w:color="auto" w:fill="FFFFFF"/>
        </w:rPr>
      </w:pPr>
      <w:r w:rsidRPr="001433A9">
        <w:rPr>
          <w:color w:val="000000" w:themeColor="text1"/>
          <w:shd w:val="clear" w:color="auto" w:fill="FFFFFF"/>
        </w:rPr>
        <w:t>*Rapin, I., Dunn, M. A., Allen, D. A., Stevens, M. C., &amp; Fein, D. (2009). Subtypes of language</w:t>
      </w:r>
    </w:p>
    <w:p w14:paraId="5FA58D08" w14:textId="77777777" w:rsidR="00C64663" w:rsidRPr="001433A9" w:rsidRDefault="00C91228" w:rsidP="00C64663">
      <w:pPr>
        <w:pStyle w:val="EndNoteBibliography"/>
        <w:ind w:left="720"/>
        <w:rPr>
          <w:color w:val="000000" w:themeColor="text1"/>
          <w:shd w:val="clear" w:color="auto" w:fill="FFFFFF"/>
        </w:rPr>
      </w:pPr>
      <w:r w:rsidRPr="001433A9">
        <w:rPr>
          <w:color w:val="000000" w:themeColor="text1"/>
          <w:shd w:val="clear" w:color="auto" w:fill="FFFFFF"/>
        </w:rPr>
        <w:lastRenderedPageBreak/>
        <w:t>disorders in school-age children with autism. </w:t>
      </w:r>
      <w:r w:rsidRPr="001433A9">
        <w:rPr>
          <w:i/>
          <w:iCs/>
          <w:color w:val="000000" w:themeColor="text1"/>
          <w:shd w:val="clear" w:color="auto" w:fill="FFFFFF"/>
        </w:rPr>
        <w:t>Developmental Neuropsychology</w:t>
      </w:r>
      <w:r w:rsidRPr="001433A9">
        <w:rPr>
          <w:color w:val="000000" w:themeColor="text1"/>
          <w:shd w:val="clear" w:color="auto" w:fill="FFFFFF"/>
        </w:rPr>
        <w:t>, </w:t>
      </w:r>
      <w:r w:rsidRPr="001433A9">
        <w:rPr>
          <w:i/>
          <w:iCs/>
          <w:color w:val="000000" w:themeColor="text1"/>
          <w:shd w:val="clear" w:color="auto" w:fill="FFFFFF"/>
        </w:rPr>
        <w:t>34</w:t>
      </w:r>
      <w:r w:rsidRPr="001433A9">
        <w:rPr>
          <w:color w:val="000000" w:themeColor="text1"/>
          <w:shd w:val="clear" w:color="auto" w:fill="FFFFFF"/>
        </w:rPr>
        <w:t>(1),</w:t>
      </w:r>
    </w:p>
    <w:p w14:paraId="2471F7E9" w14:textId="6D2061FE" w:rsidR="00C91228" w:rsidRPr="001433A9" w:rsidRDefault="00C91228" w:rsidP="00C64663">
      <w:pPr>
        <w:pStyle w:val="EndNoteBibliography"/>
        <w:ind w:left="720"/>
        <w:rPr>
          <w:noProof/>
          <w:color w:val="000000" w:themeColor="text1"/>
        </w:rPr>
      </w:pPr>
      <w:r w:rsidRPr="001433A9">
        <w:rPr>
          <w:color w:val="000000" w:themeColor="text1"/>
          <w:shd w:val="clear" w:color="auto" w:fill="FFFFFF"/>
        </w:rPr>
        <w:t>66-84. https://doi.org/10.1080/87565640802564648</w:t>
      </w:r>
    </w:p>
    <w:p w14:paraId="269F756E" w14:textId="47460425" w:rsidR="00C82253" w:rsidRPr="001433A9" w:rsidRDefault="00333BCE"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Reinhartsen, D., Tapia, A., Watson, L., Crais, E., Bradley, C., Fairchild, J., Herring, A., &amp; Daniels, J. (2019). Expressive dominant versus receptive dominant language patterns in young children: Findings from the study to explore early development. </w:t>
      </w:r>
      <w:r w:rsidR="006F2B15" w:rsidRPr="001433A9">
        <w:rPr>
          <w:i/>
          <w:noProof/>
          <w:color w:val="000000" w:themeColor="text1"/>
        </w:rPr>
        <w:t>Journal of Autism and Developmental Disorders</w:t>
      </w:r>
      <w:r w:rsidR="00C82253" w:rsidRPr="001433A9">
        <w:rPr>
          <w:noProof/>
          <w:color w:val="000000" w:themeColor="text1"/>
        </w:rPr>
        <w:t>,</w:t>
      </w:r>
      <w:r w:rsidR="00C82253" w:rsidRPr="001433A9">
        <w:rPr>
          <w:i/>
          <w:noProof/>
          <w:color w:val="000000" w:themeColor="text1"/>
        </w:rPr>
        <w:t xml:space="preserve"> 49</w:t>
      </w:r>
      <w:r w:rsidR="00C82253" w:rsidRPr="001433A9">
        <w:rPr>
          <w:noProof/>
          <w:color w:val="000000" w:themeColor="text1"/>
        </w:rPr>
        <w:t xml:space="preserve">(6), 2447-2460. https://doi.org/10.1007/s10803-019-03999-x </w:t>
      </w:r>
    </w:p>
    <w:p w14:paraId="4E68D560" w14:textId="5BC43F3C" w:rsidR="00C82253" w:rsidRPr="001433A9" w:rsidRDefault="009C229B"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Riley, E., Paynter, J., &amp; Gilmore, L. (2019). Comparing the Mullen Scales of Early Learning and the Preschool Language Scale—Fifth Edition for young children with autism spectrum disorder. </w:t>
      </w:r>
      <w:r w:rsidR="00C82253" w:rsidRPr="001433A9">
        <w:rPr>
          <w:i/>
          <w:noProof/>
          <w:color w:val="000000" w:themeColor="text1"/>
        </w:rPr>
        <w:t>Advances in Neurodevelopmental Disorders</w:t>
      </w:r>
      <w:r w:rsidR="00C82253" w:rsidRPr="001433A9">
        <w:rPr>
          <w:noProof/>
          <w:color w:val="000000" w:themeColor="text1"/>
        </w:rPr>
        <w:t>,</w:t>
      </w:r>
      <w:r w:rsidR="00C82253" w:rsidRPr="001433A9">
        <w:rPr>
          <w:i/>
          <w:noProof/>
          <w:color w:val="000000" w:themeColor="text1"/>
        </w:rPr>
        <w:t xml:space="preserve"> 3</w:t>
      </w:r>
      <w:r w:rsidR="00C82253" w:rsidRPr="001433A9">
        <w:rPr>
          <w:noProof/>
          <w:color w:val="000000" w:themeColor="text1"/>
        </w:rPr>
        <w:t xml:space="preserve">(1), 29-37. https://doi.org/10.1007/s41252-018-0084-2 </w:t>
      </w:r>
    </w:p>
    <w:p w14:paraId="354EC45E" w14:textId="77777777" w:rsidR="00141D33" w:rsidRPr="001433A9" w:rsidRDefault="00C82253" w:rsidP="00BB74E6">
      <w:pPr>
        <w:pStyle w:val="EndNoteBibliography"/>
        <w:ind w:left="720" w:hanging="720"/>
        <w:rPr>
          <w:noProof/>
          <w:color w:val="000000" w:themeColor="text1"/>
        </w:rPr>
      </w:pPr>
      <w:r w:rsidRPr="001433A9">
        <w:rPr>
          <w:noProof/>
          <w:color w:val="000000" w:themeColor="text1"/>
        </w:rPr>
        <w:t>Rivera-Figueroa, K., Marfo, N. Y. A., &amp; Eigsti, I.-M. (2022). Parental perceptions of Autism</w:t>
      </w:r>
    </w:p>
    <w:p w14:paraId="4E1F4599" w14:textId="77777777" w:rsidR="004B461D" w:rsidRPr="001433A9" w:rsidRDefault="00C82253" w:rsidP="00141D33">
      <w:pPr>
        <w:pStyle w:val="EndNoteBibliography"/>
        <w:ind w:left="720"/>
        <w:rPr>
          <w:noProof/>
          <w:color w:val="000000" w:themeColor="text1"/>
        </w:rPr>
      </w:pPr>
      <w:r w:rsidRPr="001433A9">
        <w:rPr>
          <w:noProof/>
          <w:color w:val="000000" w:themeColor="text1"/>
        </w:rPr>
        <w:t>Spectrum Disorder in Latinx and Black sociocultural contexts: A systematic review.</w:t>
      </w:r>
    </w:p>
    <w:p w14:paraId="763C7CEF" w14:textId="20BDE84F" w:rsidR="000E578E" w:rsidRPr="001433A9" w:rsidRDefault="00C82253" w:rsidP="00141D33">
      <w:pPr>
        <w:pStyle w:val="EndNoteBibliography"/>
        <w:ind w:left="720"/>
        <w:rPr>
          <w:noProof/>
          <w:color w:val="000000" w:themeColor="text1"/>
        </w:rPr>
      </w:pPr>
      <w:r w:rsidRPr="001433A9">
        <w:rPr>
          <w:i/>
          <w:noProof/>
          <w:color w:val="000000" w:themeColor="text1"/>
        </w:rPr>
        <w:t>American Journal on Intellectual and Developmental Disabilities</w:t>
      </w:r>
      <w:r w:rsidRPr="001433A9">
        <w:rPr>
          <w:noProof/>
          <w:color w:val="000000" w:themeColor="text1"/>
        </w:rPr>
        <w:t>,</w:t>
      </w:r>
      <w:r w:rsidRPr="001433A9">
        <w:rPr>
          <w:i/>
          <w:noProof/>
          <w:color w:val="000000" w:themeColor="text1"/>
        </w:rPr>
        <w:t xml:space="preserve"> 127</w:t>
      </w:r>
      <w:r w:rsidRPr="001433A9">
        <w:rPr>
          <w:noProof/>
          <w:color w:val="000000" w:themeColor="text1"/>
        </w:rPr>
        <w:t>(1), 42-63.</w:t>
      </w:r>
    </w:p>
    <w:p w14:paraId="26CEAA9B" w14:textId="0991E02D" w:rsidR="00C82253" w:rsidRPr="001433A9" w:rsidRDefault="00C82253" w:rsidP="000E578E">
      <w:pPr>
        <w:pStyle w:val="EndNoteBibliography"/>
        <w:ind w:left="720"/>
        <w:rPr>
          <w:noProof/>
          <w:color w:val="000000" w:themeColor="text1"/>
        </w:rPr>
      </w:pPr>
      <w:r w:rsidRPr="001433A9">
        <w:rPr>
          <w:noProof/>
          <w:color w:val="000000" w:themeColor="text1"/>
        </w:rPr>
        <w:t xml:space="preserve">https://doi.org/10.1352/1944-7558-127.1.42 </w:t>
      </w:r>
    </w:p>
    <w:p w14:paraId="6173B0E8" w14:textId="1DF8E2B3" w:rsidR="00C82253" w:rsidRPr="001433A9" w:rsidRDefault="00AA17FB" w:rsidP="00BB74E6">
      <w:pPr>
        <w:pStyle w:val="EndNoteBibliography"/>
        <w:ind w:left="720" w:hanging="720"/>
        <w:rPr>
          <w:noProof/>
          <w:color w:val="000000" w:themeColor="text1"/>
          <w:lang w:val="fr-FR"/>
        </w:rPr>
      </w:pPr>
      <w:r w:rsidRPr="001433A9">
        <w:rPr>
          <w:noProof/>
          <w:color w:val="000000" w:themeColor="text1"/>
        </w:rPr>
        <w:t>*</w:t>
      </w:r>
      <w:r w:rsidR="00C82253" w:rsidRPr="001433A9">
        <w:rPr>
          <w:noProof/>
          <w:color w:val="000000" w:themeColor="text1"/>
        </w:rPr>
        <w:t xml:space="preserve">Roberts, J. A., Rice, M. L., &amp; Tager–Flusberg, H. (2004). Tense marking in children with autism. </w:t>
      </w:r>
      <w:r w:rsidR="00C82253" w:rsidRPr="001433A9">
        <w:rPr>
          <w:i/>
          <w:noProof/>
          <w:color w:val="000000" w:themeColor="text1"/>
          <w:lang w:val="fr-FR"/>
        </w:rPr>
        <w:t>Applied Psycholinguistics</w:t>
      </w:r>
      <w:r w:rsidR="00C82253" w:rsidRPr="001433A9">
        <w:rPr>
          <w:noProof/>
          <w:color w:val="000000" w:themeColor="text1"/>
          <w:lang w:val="fr-FR"/>
        </w:rPr>
        <w:t>,</w:t>
      </w:r>
      <w:r w:rsidR="00C82253" w:rsidRPr="001433A9">
        <w:rPr>
          <w:i/>
          <w:noProof/>
          <w:color w:val="000000" w:themeColor="text1"/>
          <w:lang w:val="fr-FR"/>
        </w:rPr>
        <w:t xml:space="preserve"> 25</w:t>
      </w:r>
      <w:r w:rsidR="00C82253" w:rsidRPr="001433A9">
        <w:rPr>
          <w:noProof/>
          <w:color w:val="000000" w:themeColor="text1"/>
          <w:lang w:val="fr-FR"/>
        </w:rPr>
        <w:t xml:space="preserve">(3), 429-448. https://doi.org/10.1017/S0142716404001201 </w:t>
      </w:r>
    </w:p>
    <w:p w14:paraId="51607740" w14:textId="77777777" w:rsidR="001D32CA" w:rsidRPr="001433A9" w:rsidRDefault="00C82253" w:rsidP="00BB74E6">
      <w:pPr>
        <w:pStyle w:val="EndNoteBibliography"/>
        <w:ind w:left="720" w:hanging="720"/>
        <w:rPr>
          <w:noProof/>
          <w:color w:val="000000" w:themeColor="text1"/>
        </w:rPr>
      </w:pPr>
      <w:r w:rsidRPr="001433A9">
        <w:rPr>
          <w:noProof/>
          <w:color w:val="000000" w:themeColor="text1"/>
          <w:lang w:val="fr-FR"/>
        </w:rPr>
        <w:t xml:space="preserve">Roberts, S. O., &amp; Mortenson, E. (2022). </w:t>
      </w:r>
      <w:r w:rsidRPr="001433A9">
        <w:rPr>
          <w:noProof/>
          <w:color w:val="000000" w:themeColor="text1"/>
        </w:rPr>
        <w:t>Challenging the White = neutral framework in</w:t>
      </w:r>
    </w:p>
    <w:p w14:paraId="6738FE39" w14:textId="7CCBA890" w:rsidR="002707CB" w:rsidRPr="001433A9" w:rsidRDefault="00C82253" w:rsidP="001D32CA">
      <w:pPr>
        <w:pStyle w:val="EndNoteBibliography"/>
        <w:ind w:left="720"/>
        <w:rPr>
          <w:noProof/>
          <w:color w:val="000000" w:themeColor="text1"/>
          <w:lang w:val="fr-FR"/>
        </w:rPr>
      </w:pPr>
      <w:r w:rsidRPr="001433A9">
        <w:rPr>
          <w:noProof/>
          <w:color w:val="000000" w:themeColor="text1"/>
          <w:lang w:val="fr-FR"/>
        </w:rPr>
        <w:t xml:space="preserve">psychology. </w:t>
      </w:r>
      <w:r w:rsidRPr="001433A9">
        <w:rPr>
          <w:i/>
          <w:noProof/>
          <w:color w:val="000000" w:themeColor="text1"/>
          <w:lang w:val="fr-FR"/>
        </w:rPr>
        <w:t>Perspectives on Psychological Science</w:t>
      </w:r>
      <w:r w:rsidRPr="001433A9">
        <w:rPr>
          <w:noProof/>
          <w:color w:val="000000" w:themeColor="text1"/>
          <w:lang w:val="fr-FR"/>
        </w:rPr>
        <w:t>, 17456916221077117.</w:t>
      </w:r>
    </w:p>
    <w:p w14:paraId="2E56A1C1" w14:textId="16D271B7" w:rsidR="00C82253" w:rsidRPr="001433A9" w:rsidRDefault="00C82253" w:rsidP="00BB74E6">
      <w:pPr>
        <w:pStyle w:val="EndNoteBibliography"/>
        <w:ind w:left="720" w:hanging="720"/>
        <w:rPr>
          <w:noProof/>
          <w:color w:val="000000" w:themeColor="text1"/>
        </w:rPr>
      </w:pPr>
      <w:r w:rsidRPr="001433A9">
        <w:rPr>
          <w:noProof/>
          <w:color w:val="000000" w:themeColor="text1"/>
          <w:lang w:val="fr-FR"/>
        </w:rPr>
        <w:t xml:space="preserve"> </w:t>
      </w:r>
      <w:r w:rsidR="002707CB" w:rsidRPr="001433A9">
        <w:rPr>
          <w:noProof/>
          <w:color w:val="000000" w:themeColor="text1"/>
          <w:lang w:val="fr-FR"/>
        </w:rPr>
        <w:tab/>
      </w:r>
      <w:r w:rsidRPr="001433A9">
        <w:rPr>
          <w:noProof/>
          <w:color w:val="000000" w:themeColor="text1"/>
        </w:rPr>
        <w:t xml:space="preserve">https://doi.org/10.1177/17456916221077117 </w:t>
      </w:r>
    </w:p>
    <w:p w14:paraId="10FBD536" w14:textId="1C7F017C" w:rsidR="008B4AD7" w:rsidRPr="001433A9" w:rsidRDefault="008B4AD7" w:rsidP="00BB74E6">
      <w:pPr>
        <w:pStyle w:val="EndNoteBibliography"/>
        <w:ind w:left="720" w:hanging="720"/>
        <w:rPr>
          <w:noProof/>
          <w:color w:val="000000" w:themeColor="text1"/>
        </w:rPr>
      </w:pPr>
      <w:r w:rsidRPr="001433A9">
        <w:rPr>
          <w:color w:val="000000" w:themeColor="text1"/>
          <w:shd w:val="clear" w:color="auto" w:fill="FFFFFF"/>
        </w:rPr>
        <w:t>Robinson, G. C., &amp; Norton, P. C. (2019). A decade of disproportionality: A state-level analysis of African American students enrolled in the primary disability category of speech or language impairment. </w:t>
      </w:r>
      <w:r w:rsidRPr="001433A9">
        <w:rPr>
          <w:i/>
          <w:iCs/>
          <w:color w:val="000000" w:themeColor="text1"/>
          <w:shd w:val="clear" w:color="auto" w:fill="FFFFFF"/>
        </w:rPr>
        <w:t>Language, Speech, and Hearing Services in Schools</w:t>
      </w:r>
      <w:r w:rsidRPr="001433A9">
        <w:rPr>
          <w:color w:val="000000" w:themeColor="text1"/>
          <w:shd w:val="clear" w:color="auto" w:fill="FFFFFF"/>
        </w:rPr>
        <w:t>, </w:t>
      </w:r>
      <w:r w:rsidRPr="001433A9">
        <w:rPr>
          <w:i/>
          <w:iCs/>
          <w:color w:val="000000" w:themeColor="text1"/>
          <w:shd w:val="clear" w:color="auto" w:fill="FFFFFF"/>
        </w:rPr>
        <w:t>50</w:t>
      </w:r>
      <w:r w:rsidRPr="001433A9">
        <w:rPr>
          <w:color w:val="000000" w:themeColor="text1"/>
          <w:shd w:val="clear" w:color="auto" w:fill="FFFFFF"/>
        </w:rPr>
        <w:t xml:space="preserve">(2), 267-282. </w:t>
      </w:r>
      <w:r w:rsidRPr="001433A9">
        <w:rPr>
          <w:color w:val="000000" w:themeColor="text1"/>
          <w:spacing w:val="12"/>
          <w:shd w:val="clear" w:color="auto" w:fill="FFFFFF"/>
        </w:rPr>
        <w:t>https://doi.org/10.1044/2018_LSHSS-17-0149</w:t>
      </w:r>
    </w:p>
    <w:p w14:paraId="4441A5C3" w14:textId="687CA611" w:rsidR="00FB009B" w:rsidRPr="001433A9" w:rsidRDefault="00C82253" w:rsidP="00BB74E6">
      <w:pPr>
        <w:pStyle w:val="EndNoteBibliography"/>
        <w:ind w:left="720" w:hanging="720"/>
        <w:rPr>
          <w:noProof/>
          <w:color w:val="000000" w:themeColor="text1"/>
        </w:rPr>
      </w:pPr>
      <w:r w:rsidRPr="001433A9">
        <w:rPr>
          <w:noProof/>
          <w:color w:val="000000" w:themeColor="text1"/>
        </w:rPr>
        <w:t>Russell, G., Mandy, W., Elliott, D., White, R., Pittwood, T., &amp; Ford, T. (2019). Selection bias on</w:t>
      </w:r>
    </w:p>
    <w:p w14:paraId="164381D1" w14:textId="77777777" w:rsidR="00FB023C" w:rsidRPr="001433A9" w:rsidRDefault="00C82253" w:rsidP="00FB009B">
      <w:pPr>
        <w:pStyle w:val="EndNoteBibliography"/>
        <w:ind w:left="720"/>
        <w:rPr>
          <w:noProof/>
          <w:color w:val="000000" w:themeColor="text1"/>
        </w:rPr>
      </w:pPr>
      <w:r w:rsidRPr="001433A9">
        <w:rPr>
          <w:noProof/>
          <w:color w:val="000000" w:themeColor="text1"/>
        </w:rPr>
        <w:t>intellectual ability in autism research: A cross-sectional review and meta-analysis.</w:t>
      </w:r>
    </w:p>
    <w:p w14:paraId="4C882B0D" w14:textId="36D7DD88" w:rsidR="00C82253" w:rsidRPr="001433A9" w:rsidRDefault="00C82253" w:rsidP="00FB009B">
      <w:pPr>
        <w:pStyle w:val="EndNoteBibliography"/>
        <w:ind w:left="720"/>
        <w:rPr>
          <w:noProof/>
          <w:color w:val="000000" w:themeColor="text1"/>
        </w:rPr>
      </w:pPr>
      <w:r w:rsidRPr="001433A9">
        <w:rPr>
          <w:i/>
          <w:noProof/>
          <w:color w:val="000000" w:themeColor="text1"/>
        </w:rPr>
        <w:t xml:space="preserve">Molecular </w:t>
      </w:r>
      <w:r w:rsidR="00FB009B" w:rsidRPr="001433A9">
        <w:rPr>
          <w:i/>
          <w:noProof/>
          <w:color w:val="000000" w:themeColor="text1"/>
        </w:rPr>
        <w:t>A</w:t>
      </w:r>
      <w:r w:rsidRPr="001433A9">
        <w:rPr>
          <w:i/>
          <w:noProof/>
          <w:color w:val="000000" w:themeColor="text1"/>
        </w:rPr>
        <w:t>utism</w:t>
      </w:r>
      <w:r w:rsidRPr="001433A9">
        <w:rPr>
          <w:noProof/>
          <w:color w:val="000000" w:themeColor="text1"/>
        </w:rPr>
        <w:t>,</w:t>
      </w:r>
      <w:r w:rsidRPr="001433A9">
        <w:rPr>
          <w:i/>
          <w:noProof/>
          <w:color w:val="000000" w:themeColor="text1"/>
        </w:rPr>
        <w:t xml:space="preserve"> 10</w:t>
      </w:r>
      <w:r w:rsidRPr="001433A9">
        <w:rPr>
          <w:noProof/>
          <w:color w:val="000000" w:themeColor="text1"/>
        </w:rPr>
        <w:t xml:space="preserve">(1), 1-10. https://doi.org/10.1186/s13229-019-0260-x </w:t>
      </w:r>
    </w:p>
    <w:p w14:paraId="17EA9E96" w14:textId="77777777" w:rsidR="009B7605" w:rsidRPr="001433A9" w:rsidRDefault="00C82253" w:rsidP="00BB74E6">
      <w:pPr>
        <w:pStyle w:val="EndNoteBibliography"/>
        <w:ind w:left="720" w:hanging="720"/>
        <w:rPr>
          <w:noProof/>
          <w:color w:val="000000" w:themeColor="text1"/>
        </w:rPr>
      </w:pPr>
      <w:r w:rsidRPr="001433A9">
        <w:rPr>
          <w:noProof/>
          <w:color w:val="000000" w:themeColor="text1"/>
        </w:rPr>
        <w:t>Saul, J., &amp; Norbury, C. (2020). Does phonetic repertoire in minimally verbal autistic</w:t>
      </w:r>
    </w:p>
    <w:p w14:paraId="1B810F13" w14:textId="77777777" w:rsidR="000778C9" w:rsidRPr="001433A9" w:rsidRDefault="00C82253" w:rsidP="009B7605">
      <w:pPr>
        <w:pStyle w:val="EndNoteBibliography"/>
        <w:ind w:left="720"/>
        <w:rPr>
          <w:noProof/>
          <w:color w:val="000000" w:themeColor="text1"/>
        </w:rPr>
      </w:pPr>
      <w:r w:rsidRPr="001433A9">
        <w:rPr>
          <w:noProof/>
          <w:color w:val="000000" w:themeColor="text1"/>
        </w:rPr>
        <w:t xml:space="preserve">preschoolers predict the severity of later expressive language impairment? </w:t>
      </w:r>
      <w:r w:rsidRPr="001433A9">
        <w:rPr>
          <w:i/>
          <w:noProof/>
          <w:color w:val="000000" w:themeColor="text1"/>
        </w:rPr>
        <w:t>Autism</w:t>
      </w:r>
      <w:r w:rsidRPr="001433A9">
        <w:rPr>
          <w:noProof/>
          <w:color w:val="000000" w:themeColor="text1"/>
        </w:rPr>
        <w:t>,</w:t>
      </w:r>
      <w:r w:rsidRPr="001433A9">
        <w:rPr>
          <w:i/>
          <w:noProof/>
          <w:color w:val="000000" w:themeColor="text1"/>
        </w:rPr>
        <w:t xml:space="preserve"> 24</w:t>
      </w:r>
      <w:r w:rsidRPr="001433A9">
        <w:rPr>
          <w:noProof/>
          <w:color w:val="000000" w:themeColor="text1"/>
        </w:rPr>
        <w:t>(5),</w:t>
      </w:r>
    </w:p>
    <w:p w14:paraId="1EE86592" w14:textId="412C1901" w:rsidR="00C82253" w:rsidRPr="001433A9" w:rsidRDefault="00C82253" w:rsidP="009B7605">
      <w:pPr>
        <w:pStyle w:val="EndNoteBibliography"/>
        <w:ind w:left="720"/>
        <w:rPr>
          <w:noProof/>
          <w:color w:val="000000" w:themeColor="text1"/>
        </w:rPr>
      </w:pPr>
      <w:r w:rsidRPr="001433A9">
        <w:rPr>
          <w:noProof/>
          <w:color w:val="000000" w:themeColor="text1"/>
        </w:rPr>
        <w:t xml:space="preserve">1217-1231. https://doi.org/10.1177/1362361319898560 </w:t>
      </w:r>
    </w:p>
    <w:p w14:paraId="0BA7A3E5" w14:textId="77777777" w:rsidR="00037E3B" w:rsidRPr="001433A9" w:rsidRDefault="00037E3B" w:rsidP="00037E3B">
      <w:pPr>
        <w:rPr>
          <w:color w:val="000000" w:themeColor="text1"/>
          <w:shd w:val="clear" w:color="auto" w:fill="FFFFFF"/>
        </w:rPr>
      </w:pPr>
      <w:r w:rsidRPr="001433A9">
        <w:rPr>
          <w:color w:val="000000" w:themeColor="text1"/>
          <w:shd w:val="clear" w:color="auto" w:fill="FFFFFF"/>
        </w:rPr>
        <w:t xml:space="preserve">Schott, W., Tao, S., &amp; Shea, L. (2022). Co‐occurring conditions and racial‐ethnic </w:t>
      </w:r>
    </w:p>
    <w:p w14:paraId="3BE93E4A" w14:textId="4D1FFE04" w:rsidR="00037E3B" w:rsidRPr="001433A9" w:rsidRDefault="00037E3B" w:rsidP="00037E3B">
      <w:pPr>
        <w:ind w:left="720"/>
        <w:rPr>
          <w:color w:val="000000" w:themeColor="text1"/>
          <w:shd w:val="clear" w:color="auto" w:fill="FFFFFF"/>
        </w:rPr>
      </w:pPr>
      <w:r w:rsidRPr="001433A9">
        <w:rPr>
          <w:color w:val="000000" w:themeColor="text1"/>
          <w:shd w:val="clear" w:color="auto" w:fill="FFFFFF"/>
        </w:rPr>
        <w:t>disparities: Medicaid enrolled adults on the autism spectrum. </w:t>
      </w:r>
      <w:r w:rsidRPr="001433A9">
        <w:rPr>
          <w:i/>
          <w:iCs/>
          <w:color w:val="000000" w:themeColor="text1"/>
          <w:shd w:val="clear" w:color="auto" w:fill="FFFFFF"/>
        </w:rPr>
        <w:t>Autism Research</w:t>
      </w:r>
      <w:r w:rsidRPr="001433A9">
        <w:rPr>
          <w:color w:val="000000" w:themeColor="text1"/>
          <w:shd w:val="clear" w:color="auto" w:fill="FFFFFF"/>
        </w:rPr>
        <w:t>, </w:t>
      </w:r>
      <w:r w:rsidRPr="001433A9">
        <w:rPr>
          <w:i/>
          <w:iCs/>
          <w:color w:val="000000" w:themeColor="text1"/>
          <w:shd w:val="clear" w:color="auto" w:fill="FFFFFF"/>
        </w:rPr>
        <w:t>15</w:t>
      </w:r>
      <w:r w:rsidRPr="001433A9">
        <w:rPr>
          <w:color w:val="000000" w:themeColor="text1"/>
          <w:shd w:val="clear" w:color="auto" w:fill="FFFFFF"/>
        </w:rPr>
        <w:t>(1), 70-85. https://doi.org/10.1002/aur.2644</w:t>
      </w:r>
    </w:p>
    <w:p w14:paraId="058FF870" w14:textId="165AFEAF" w:rsidR="00133735" w:rsidRPr="001433A9" w:rsidRDefault="00C82253" w:rsidP="00BB74E6">
      <w:pPr>
        <w:pStyle w:val="EndNoteBibliography"/>
        <w:ind w:left="720" w:hanging="720"/>
        <w:rPr>
          <w:noProof/>
          <w:color w:val="000000" w:themeColor="text1"/>
        </w:rPr>
      </w:pPr>
      <w:r w:rsidRPr="001433A9">
        <w:rPr>
          <w:noProof/>
          <w:color w:val="000000" w:themeColor="text1"/>
        </w:rPr>
        <w:t>Selin, C. M., Rice, M. L., Girolamo, T. M., &amp; Wang, C. J. (2022). Work setting effects on</w:t>
      </w:r>
    </w:p>
    <w:p w14:paraId="5D4407F4" w14:textId="77777777" w:rsidR="00133735" w:rsidRPr="001433A9" w:rsidRDefault="00C82253" w:rsidP="00133735">
      <w:pPr>
        <w:pStyle w:val="EndNoteBibliography"/>
        <w:ind w:left="720"/>
        <w:rPr>
          <w:noProof/>
          <w:color w:val="000000" w:themeColor="text1"/>
        </w:rPr>
      </w:pPr>
      <w:r w:rsidRPr="001433A9">
        <w:rPr>
          <w:noProof/>
          <w:color w:val="000000" w:themeColor="text1"/>
        </w:rPr>
        <w:t>speech-language pathology practice: Implications for Identification of children with</w:t>
      </w:r>
    </w:p>
    <w:p w14:paraId="23C290B5" w14:textId="15F20152" w:rsidR="006D2598" w:rsidRPr="001433A9" w:rsidRDefault="00C82253" w:rsidP="00133735">
      <w:pPr>
        <w:pStyle w:val="EndNoteBibliography"/>
        <w:ind w:left="720"/>
        <w:rPr>
          <w:noProof/>
          <w:color w:val="000000" w:themeColor="text1"/>
        </w:rPr>
      </w:pPr>
      <w:r w:rsidRPr="001433A9">
        <w:rPr>
          <w:noProof/>
          <w:color w:val="000000" w:themeColor="text1"/>
        </w:rPr>
        <w:t xml:space="preserve">specific language impairment. </w:t>
      </w:r>
      <w:r w:rsidRPr="001433A9">
        <w:rPr>
          <w:i/>
          <w:noProof/>
          <w:color w:val="000000" w:themeColor="text1"/>
        </w:rPr>
        <w:t>American Journal of Speech-Language Pathology</w:t>
      </w:r>
      <w:r w:rsidRPr="001433A9">
        <w:rPr>
          <w:noProof/>
          <w:color w:val="000000" w:themeColor="text1"/>
        </w:rPr>
        <w:t>,</w:t>
      </w:r>
      <w:r w:rsidRPr="001433A9">
        <w:rPr>
          <w:i/>
          <w:noProof/>
          <w:color w:val="000000" w:themeColor="text1"/>
        </w:rPr>
        <w:t xml:space="preserve"> 31</w:t>
      </w:r>
      <w:r w:rsidRPr="001433A9">
        <w:rPr>
          <w:noProof/>
          <w:color w:val="000000" w:themeColor="text1"/>
        </w:rPr>
        <w:t>(2),</w:t>
      </w:r>
    </w:p>
    <w:p w14:paraId="548D4F54" w14:textId="7A362EB1" w:rsidR="00C82253" w:rsidRPr="001433A9" w:rsidRDefault="00C82253" w:rsidP="006D2598">
      <w:pPr>
        <w:pStyle w:val="EndNoteBibliography"/>
        <w:ind w:left="720"/>
        <w:rPr>
          <w:noProof/>
          <w:color w:val="000000" w:themeColor="text1"/>
        </w:rPr>
      </w:pPr>
      <w:r w:rsidRPr="001433A9">
        <w:rPr>
          <w:noProof/>
          <w:color w:val="000000" w:themeColor="text1"/>
        </w:rPr>
        <w:t xml:space="preserve">854-880. https://doi.org/10.1044/2021_AJSLP-21-00024 </w:t>
      </w:r>
    </w:p>
    <w:p w14:paraId="2EA94DAF" w14:textId="77777777" w:rsidR="00133735" w:rsidRPr="001433A9" w:rsidRDefault="00133735" w:rsidP="00133735">
      <w:pPr>
        <w:rPr>
          <w:color w:val="000000" w:themeColor="text1"/>
          <w:shd w:val="clear" w:color="auto" w:fill="FFFFFF"/>
        </w:rPr>
      </w:pPr>
      <w:r w:rsidRPr="001433A9">
        <w:rPr>
          <w:color w:val="000000" w:themeColor="text1"/>
          <w:shd w:val="clear" w:color="auto" w:fill="FFFFFF"/>
        </w:rPr>
        <w:t xml:space="preserve">Shaw, K. A., McArthur, D., Hughes, M. M., Bakian, A. V., Lee, L. C., Pettygrove, S., &amp; </w:t>
      </w:r>
    </w:p>
    <w:p w14:paraId="3015F39D" w14:textId="77777777" w:rsidR="00133735" w:rsidRPr="001433A9" w:rsidRDefault="00133735" w:rsidP="00133735">
      <w:pPr>
        <w:ind w:left="720"/>
        <w:rPr>
          <w:color w:val="000000" w:themeColor="text1"/>
          <w:shd w:val="clear" w:color="auto" w:fill="FFFFFF"/>
        </w:rPr>
      </w:pPr>
      <w:r w:rsidRPr="001433A9">
        <w:rPr>
          <w:color w:val="000000" w:themeColor="text1"/>
          <w:shd w:val="clear" w:color="auto" w:fill="FFFFFF"/>
        </w:rPr>
        <w:t>Maenner, M. J. (2021). Progress and disparities in early identification of Autism</w:t>
      </w:r>
    </w:p>
    <w:p w14:paraId="0D90E4D9" w14:textId="77777777" w:rsidR="00F81962" w:rsidRPr="001433A9" w:rsidRDefault="00133735" w:rsidP="00133735">
      <w:pPr>
        <w:ind w:left="720"/>
        <w:rPr>
          <w:color w:val="000000" w:themeColor="text1"/>
          <w:shd w:val="clear" w:color="auto" w:fill="FFFFFF"/>
        </w:rPr>
      </w:pPr>
      <w:r w:rsidRPr="001433A9">
        <w:rPr>
          <w:color w:val="000000" w:themeColor="text1"/>
          <w:shd w:val="clear" w:color="auto" w:fill="FFFFFF"/>
        </w:rPr>
        <w:t>Spectrum Disorder: Autism and Developmental Disabilities Monitoring Network,</w:t>
      </w:r>
    </w:p>
    <w:p w14:paraId="552F9AFC" w14:textId="0AA808DD" w:rsidR="00133735" w:rsidRPr="001433A9" w:rsidRDefault="00133735" w:rsidP="00133735">
      <w:pPr>
        <w:ind w:left="720"/>
        <w:rPr>
          <w:color w:val="000000" w:themeColor="text1"/>
        </w:rPr>
      </w:pPr>
      <w:r w:rsidRPr="001433A9">
        <w:rPr>
          <w:color w:val="000000" w:themeColor="text1"/>
          <w:shd w:val="clear" w:color="auto" w:fill="FFFFFF"/>
        </w:rPr>
        <w:t>2002-2016. </w:t>
      </w:r>
      <w:r w:rsidRPr="001433A9">
        <w:rPr>
          <w:i/>
          <w:iCs/>
          <w:color w:val="000000" w:themeColor="text1"/>
          <w:shd w:val="clear" w:color="auto" w:fill="FFFFFF"/>
        </w:rPr>
        <w:t>Journal of the American Academy of Child &amp; Adolescent Psychiatry</w:t>
      </w:r>
      <w:r w:rsidRPr="001433A9">
        <w:rPr>
          <w:color w:val="000000" w:themeColor="text1"/>
          <w:shd w:val="clear" w:color="auto" w:fill="FFFFFF"/>
        </w:rPr>
        <w:t>. https://doi.org/10.1016/j.jaac.2021.11.019</w:t>
      </w:r>
    </w:p>
    <w:p w14:paraId="1E59A44B" w14:textId="77777777" w:rsidR="00133735" w:rsidRPr="001433A9" w:rsidRDefault="00133735" w:rsidP="00133735">
      <w:pPr>
        <w:rPr>
          <w:color w:val="000000" w:themeColor="text1"/>
          <w:shd w:val="clear" w:color="auto" w:fill="FFFFFF"/>
        </w:rPr>
      </w:pPr>
      <w:r w:rsidRPr="001433A9">
        <w:rPr>
          <w:color w:val="000000" w:themeColor="text1"/>
          <w:shd w:val="clear" w:color="auto" w:fill="FFFFFF"/>
        </w:rPr>
        <w:t xml:space="preserve">Shenouda, J., Barrett, E., Davidow, A. L., Halperin, W., Silenzio, V. M., &amp; Zahorodny, W. </w:t>
      </w:r>
    </w:p>
    <w:p w14:paraId="619CA019" w14:textId="7F6F412B" w:rsidR="00133735" w:rsidRPr="001433A9" w:rsidRDefault="00133735" w:rsidP="00133735">
      <w:pPr>
        <w:ind w:left="720"/>
        <w:rPr>
          <w:color w:val="000000" w:themeColor="text1"/>
          <w:shd w:val="clear" w:color="auto" w:fill="FFFFFF"/>
        </w:rPr>
      </w:pPr>
      <w:r w:rsidRPr="001433A9">
        <w:rPr>
          <w:color w:val="000000" w:themeColor="text1"/>
          <w:shd w:val="clear" w:color="auto" w:fill="FFFFFF"/>
        </w:rPr>
        <w:t>(2022). Prevalence of autism spectrum disorder in a large, diverse metropolitan area: Variation by sociodemographic factors. </w:t>
      </w:r>
      <w:r w:rsidRPr="001433A9">
        <w:rPr>
          <w:i/>
          <w:iCs/>
          <w:color w:val="000000" w:themeColor="text1"/>
          <w:shd w:val="clear" w:color="auto" w:fill="FFFFFF"/>
        </w:rPr>
        <w:t>Autism Research</w:t>
      </w:r>
      <w:r w:rsidRPr="001433A9">
        <w:rPr>
          <w:color w:val="000000" w:themeColor="text1"/>
          <w:shd w:val="clear" w:color="auto" w:fill="FFFFFF"/>
        </w:rPr>
        <w:t>, </w:t>
      </w:r>
      <w:r w:rsidRPr="001433A9">
        <w:rPr>
          <w:i/>
          <w:iCs/>
          <w:color w:val="000000" w:themeColor="text1"/>
          <w:shd w:val="clear" w:color="auto" w:fill="FFFFFF"/>
        </w:rPr>
        <w:t>15</w:t>
      </w:r>
      <w:r w:rsidRPr="001433A9">
        <w:rPr>
          <w:color w:val="000000" w:themeColor="text1"/>
          <w:shd w:val="clear" w:color="auto" w:fill="FFFFFF"/>
        </w:rPr>
        <w:t>(1), 146-155.</w:t>
      </w:r>
    </w:p>
    <w:p w14:paraId="2F35667B" w14:textId="3A539C64" w:rsidR="00133735" w:rsidRPr="001433A9" w:rsidRDefault="00133735" w:rsidP="00133735">
      <w:pPr>
        <w:ind w:left="720"/>
        <w:rPr>
          <w:color w:val="000000" w:themeColor="text1"/>
        </w:rPr>
      </w:pPr>
      <w:r w:rsidRPr="001433A9">
        <w:rPr>
          <w:color w:val="000000" w:themeColor="text1"/>
        </w:rPr>
        <w:lastRenderedPageBreak/>
        <w:t>https://doi.org/10.1002/aur.2628</w:t>
      </w:r>
    </w:p>
    <w:p w14:paraId="4366AEC6" w14:textId="57E2B48D" w:rsidR="004D5518" w:rsidRPr="001433A9" w:rsidRDefault="00C82253" w:rsidP="00BB74E6">
      <w:pPr>
        <w:pStyle w:val="EndNoteBibliography"/>
        <w:ind w:left="720" w:hanging="720"/>
        <w:rPr>
          <w:noProof/>
          <w:color w:val="000000" w:themeColor="text1"/>
        </w:rPr>
      </w:pPr>
      <w:r w:rsidRPr="001433A9">
        <w:rPr>
          <w:noProof/>
          <w:color w:val="000000" w:themeColor="text1"/>
        </w:rPr>
        <w:t>Steinbrenner, J. R., McIntyre, N., Rentschler, L. F., Pearson, J. N., Luelmo, P., Jaramillo, M. E.,</w:t>
      </w:r>
    </w:p>
    <w:p w14:paraId="63F6C379" w14:textId="77777777" w:rsidR="00D50868" w:rsidRPr="001433A9" w:rsidRDefault="00C82253" w:rsidP="004D5518">
      <w:pPr>
        <w:pStyle w:val="EndNoteBibliography"/>
        <w:ind w:left="720"/>
        <w:rPr>
          <w:noProof/>
          <w:color w:val="000000" w:themeColor="text1"/>
        </w:rPr>
      </w:pPr>
      <w:r w:rsidRPr="001433A9">
        <w:rPr>
          <w:noProof/>
          <w:color w:val="000000" w:themeColor="text1"/>
        </w:rPr>
        <w:t>Boyd, B. A., Wong, C., Nowell, S. W., Odom, S. L., &amp; Hume, K. A. (2022). Patterns in</w:t>
      </w:r>
    </w:p>
    <w:p w14:paraId="14B67D1B" w14:textId="77777777" w:rsidR="00173690" w:rsidRPr="001433A9" w:rsidRDefault="00C82253" w:rsidP="004D5518">
      <w:pPr>
        <w:pStyle w:val="EndNoteBibliography"/>
        <w:ind w:left="720"/>
        <w:rPr>
          <w:noProof/>
          <w:color w:val="000000" w:themeColor="text1"/>
        </w:rPr>
      </w:pPr>
      <w:r w:rsidRPr="001433A9">
        <w:rPr>
          <w:noProof/>
          <w:color w:val="000000" w:themeColor="text1"/>
        </w:rPr>
        <w:t>reporting and participant inclusion related to race and ethnicity in autism intervention</w:t>
      </w:r>
    </w:p>
    <w:p w14:paraId="01DC43B3" w14:textId="37EA3267" w:rsidR="00C64663" w:rsidRPr="001433A9" w:rsidRDefault="00C82253" w:rsidP="004D5518">
      <w:pPr>
        <w:pStyle w:val="EndNoteBibliography"/>
        <w:ind w:left="720"/>
        <w:rPr>
          <w:noProof/>
          <w:color w:val="000000" w:themeColor="text1"/>
        </w:rPr>
      </w:pPr>
      <w:r w:rsidRPr="001433A9">
        <w:rPr>
          <w:noProof/>
          <w:color w:val="000000" w:themeColor="text1"/>
        </w:rPr>
        <w:t xml:space="preserve">literature: Data from a large-scale systematic review of evidence-based practices. </w:t>
      </w:r>
      <w:r w:rsidRPr="001433A9">
        <w:rPr>
          <w:i/>
          <w:noProof/>
          <w:color w:val="000000" w:themeColor="text1"/>
        </w:rPr>
        <w:t>Autism</w:t>
      </w:r>
      <w:r w:rsidRPr="001433A9">
        <w:rPr>
          <w:noProof/>
          <w:color w:val="000000" w:themeColor="text1"/>
        </w:rPr>
        <w:t>,</w:t>
      </w:r>
    </w:p>
    <w:p w14:paraId="4C2939AF" w14:textId="7A1DCCA4" w:rsidR="00C82253" w:rsidRPr="001433A9" w:rsidRDefault="00C82253" w:rsidP="004D5518">
      <w:pPr>
        <w:pStyle w:val="EndNoteBibliography"/>
        <w:ind w:left="720"/>
        <w:rPr>
          <w:noProof/>
          <w:color w:val="000000" w:themeColor="text1"/>
        </w:rPr>
      </w:pPr>
      <w:r w:rsidRPr="001433A9">
        <w:rPr>
          <w:noProof/>
          <w:color w:val="000000" w:themeColor="text1"/>
        </w:rPr>
        <w:t xml:space="preserve">13623613211072593. https://doi.org/10.1177/13623613211072593 </w:t>
      </w:r>
    </w:p>
    <w:p w14:paraId="685FEBD4" w14:textId="77777777" w:rsidR="002614D8" w:rsidRPr="001433A9" w:rsidRDefault="006A517C"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Sterling, A. (2018). Grammar in boys with idiopathic autism spectrum disorder and boys with</w:t>
      </w:r>
    </w:p>
    <w:p w14:paraId="6496C530" w14:textId="42E715C2" w:rsidR="00C82253" w:rsidRPr="001433A9" w:rsidRDefault="00C82253" w:rsidP="002614D8">
      <w:pPr>
        <w:pStyle w:val="EndNoteBibliography"/>
        <w:ind w:left="720"/>
        <w:rPr>
          <w:noProof/>
          <w:color w:val="000000" w:themeColor="text1"/>
        </w:rPr>
      </w:pPr>
      <w:r w:rsidRPr="001433A9">
        <w:rPr>
          <w:noProof/>
          <w:color w:val="000000" w:themeColor="text1"/>
          <w:lang w:val="fr-FR"/>
        </w:rPr>
        <w:t xml:space="preserve">fragile X syndrome plus autism spectrum disorder. </w:t>
      </w:r>
      <w:r w:rsidRPr="001433A9">
        <w:rPr>
          <w:i/>
          <w:noProof/>
          <w:color w:val="000000" w:themeColor="text1"/>
        </w:rPr>
        <w:t>Journal of Speech, Language, and Hearing Research</w:t>
      </w:r>
      <w:r w:rsidRPr="001433A9">
        <w:rPr>
          <w:noProof/>
          <w:color w:val="000000" w:themeColor="text1"/>
        </w:rPr>
        <w:t>,</w:t>
      </w:r>
      <w:r w:rsidRPr="001433A9">
        <w:rPr>
          <w:i/>
          <w:noProof/>
          <w:color w:val="000000" w:themeColor="text1"/>
        </w:rPr>
        <w:t xml:space="preserve"> 61</w:t>
      </w:r>
      <w:r w:rsidRPr="001433A9">
        <w:rPr>
          <w:noProof/>
          <w:color w:val="000000" w:themeColor="text1"/>
        </w:rPr>
        <w:t xml:space="preserve">(4), 857-869. https://doi.org/10.1044/2017_JSLHR-L-17-0248 </w:t>
      </w:r>
    </w:p>
    <w:p w14:paraId="20A70483" w14:textId="77777777" w:rsidR="00C77796" w:rsidRPr="001433A9" w:rsidRDefault="00C82253" w:rsidP="00BB74E6">
      <w:pPr>
        <w:pStyle w:val="EndNoteBibliography"/>
        <w:ind w:left="720" w:hanging="720"/>
        <w:rPr>
          <w:noProof/>
          <w:color w:val="000000" w:themeColor="text1"/>
        </w:rPr>
      </w:pPr>
      <w:r w:rsidRPr="001433A9">
        <w:rPr>
          <w:noProof/>
          <w:color w:val="000000" w:themeColor="text1"/>
        </w:rPr>
        <w:t>Tager‐Flusberg, H., &amp; Kasari, C. (2013). Minimally verbal school‐aged children with autism</w:t>
      </w:r>
    </w:p>
    <w:p w14:paraId="0717C1BF" w14:textId="4264D2BB" w:rsidR="00C82253" w:rsidRPr="001433A9" w:rsidRDefault="00C82253" w:rsidP="00C77796">
      <w:pPr>
        <w:pStyle w:val="EndNoteBibliography"/>
        <w:ind w:left="720"/>
        <w:rPr>
          <w:noProof/>
          <w:color w:val="000000" w:themeColor="text1"/>
        </w:rPr>
      </w:pPr>
      <w:r w:rsidRPr="001433A9">
        <w:rPr>
          <w:noProof/>
          <w:color w:val="000000" w:themeColor="text1"/>
        </w:rPr>
        <w:t xml:space="preserve">spectrum disorder: The neglected end of the spectrum. </w:t>
      </w:r>
      <w:r w:rsidRPr="001433A9">
        <w:rPr>
          <w:i/>
          <w:noProof/>
          <w:color w:val="000000" w:themeColor="text1"/>
        </w:rPr>
        <w:t>Autism Research</w:t>
      </w:r>
      <w:r w:rsidRPr="001433A9">
        <w:rPr>
          <w:noProof/>
          <w:color w:val="000000" w:themeColor="text1"/>
        </w:rPr>
        <w:t>,</w:t>
      </w:r>
      <w:r w:rsidRPr="001433A9">
        <w:rPr>
          <w:i/>
          <w:noProof/>
          <w:color w:val="000000" w:themeColor="text1"/>
        </w:rPr>
        <w:t xml:space="preserve"> 6</w:t>
      </w:r>
      <w:r w:rsidRPr="001433A9">
        <w:rPr>
          <w:noProof/>
          <w:color w:val="000000" w:themeColor="text1"/>
        </w:rPr>
        <w:t xml:space="preserve">(6), 468-478. </w:t>
      </w:r>
    </w:p>
    <w:p w14:paraId="78808F04" w14:textId="77777777" w:rsidR="00A404FE" w:rsidRPr="001433A9" w:rsidRDefault="007111FA"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Thurm, A., Lord, C., Lee, L.-C., &amp; Newschaffer, C. (2007). Predictors of language acquisition</w:t>
      </w:r>
    </w:p>
    <w:p w14:paraId="1D902444" w14:textId="77777777" w:rsidR="00A404FE" w:rsidRPr="001433A9" w:rsidRDefault="00C82253" w:rsidP="00A404FE">
      <w:pPr>
        <w:pStyle w:val="EndNoteBibliography"/>
        <w:ind w:left="720"/>
        <w:rPr>
          <w:i/>
          <w:noProof/>
          <w:color w:val="000000" w:themeColor="text1"/>
        </w:rPr>
      </w:pPr>
      <w:r w:rsidRPr="001433A9">
        <w:rPr>
          <w:noProof/>
          <w:color w:val="000000" w:themeColor="text1"/>
        </w:rPr>
        <w:t xml:space="preserve">in preschool children with autism spectrum disorders. </w:t>
      </w:r>
      <w:r w:rsidR="006F2B15" w:rsidRPr="001433A9">
        <w:rPr>
          <w:i/>
          <w:noProof/>
          <w:color w:val="000000" w:themeColor="text1"/>
        </w:rPr>
        <w:t>Journal of Autism and</w:t>
      </w:r>
    </w:p>
    <w:p w14:paraId="357060CE" w14:textId="7B87B94E" w:rsidR="00C82253" w:rsidRPr="001433A9" w:rsidRDefault="006F2B15" w:rsidP="00A404FE">
      <w:pPr>
        <w:pStyle w:val="EndNoteBibliography"/>
        <w:ind w:left="720"/>
        <w:rPr>
          <w:noProof/>
          <w:color w:val="000000" w:themeColor="text1"/>
        </w:rPr>
      </w:pPr>
      <w:r w:rsidRPr="001433A9">
        <w:rPr>
          <w:i/>
          <w:noProof/>
          <w:color w:val="000000" w:themeColor="text1"/>
        </w:rPr>
        <w:t>Developmental Disorders</w:t>
      </w:r>
      <w:r w:rsidR="00C82253" w:rsidRPr="001433A9">
        <w:rPr>
          <w:noProof/>
          <w:color w:val="000000" w:themeColor="text1"/>
        </w:rPr>
        <w:t>,</w:t>
      </w:r>
      <w:r w:rsidR="00C82253" w:rsidRPr="001433A9">
        <w:rPr>
          <w:i/>
          <w:noProof/>
          <w:color w:val="000000" w:themeColor="text1"/>
        </w:rPr>
        <w:t xml:space="preserve"> 37</w:t>
      </w:r>
      <w:r w:rsidR="00C82253" w:rsidRPr="001433A9">
        <w:rPr>
          <w:noProof/>
          <w:color w:val="000000" w:themeColor="text1"/>
        </w:rPr>
        <w:t xml:space="preserve">(9), 1721-1734. https://doi.org/10.1007/s10803-006-0300-1 </w:t>
      </w:r>
    </w:p>
    <w:p w14:paraId="4BA62881" w14:textId="77777777" w:rsidR="00FD1F9C" w:rsidRPr="001433A9" w:rsidRDefault="00BA43C5"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Thurm, A., Manwaring, S. S., Swineford, L., &amp; Farmer, C. (2015). Longitudinal study of</w:t>
      </w:r>
    </w:p>
    <w:p w14:paraId="4D1304C4" w14:textId="77777777" w:rsidR="00FD1F9C" w:rsidRPr="001433A9" w:rsidRDefault="00C82253" w:rsidP="00FD1F9C">
      <w:pPr>
        <w:pStyle w:val="EndNoteBibliography"/>
        <w:ind w:left="720"/>
        <w:rPr>
          <w:i/>
          <w:noProof/>
          <w:color w:val="000000" w:themeColor="text1"/>
        </w:rPr>
      </w:pPr>
      <w:r w:rsidRPr="001433A9">
        <w:rPr>
          <w:noProof/>
          <w:color w:val="000000" w:themeColor="text1"/>
        </w:rPr>
        <w:t xml:space="preserve">symptom severity and language in minimally verbal children with autism. </w:t>
      </w:r>
      <w:r w:rsidRPr="001433A9">
        <w:rPr>
          <w:i/>
          <w:noProof/>
          <w:color w:val="000000" w:themeColor="text1"/>
        </w:rPr>
        <w:t>Journal of</w:t>
      </w:r>
    </w:p>
    <w:p w14:paraId="333E7CF4" w14:textId="6DAABAE7" w:rsidR="00C82253" w:rsidRPr="001433A9" w:rsidRDefault="00C82253" w:rsidP="00FD1F9C">
      <w:pPr>
        <w:pStyle w:val="EndNoteBibliography"/>
        <w:ind w:left="720"/>
        <w:rPr>
          <w:noProof/>
          <w:color w:val="000000" w:themeColor="text1"/>
        </w:rPr>
      </w:pPr>
      <w:r w:rsidRPr="001433A9">
        <w:rPr>
          <w:i/>
          <w:noProof/>
          <w:color w:val="000000" w:themeColor="text1"/>
        </w:rPr>
        <w:t>Child Psychology and Psychiatry</w:t>
      </w:r>
      <w:r w:rsidRPr="001433A9">
        <w:rPr>
          <w:noProof/>
          <w:color w:val="000000" w:themeColor="text1"/>
        </w:rPr>
        <w:t>,</w:t>
      </w:r>
      <w:r w:rsidRPr="001433A9">
        <w:rPr>
          <w:i/>
          <w:noProof/>
          <w:color w:val="000000" w:themeColor="text1"/>
        </w:rPr>
        <w:t xml:space="preserve"> 56</w:t>
      </w:r>
      <w:r w:rsidRPr="001433A9">
        <w:rPr>
          <w:noProof/>
          <w:color w:val="000000" w:themeColor="text1"/>
        </w:rPr>
        <w:t xml:space="preserve">(1), 97-104. https://doi.org/10.1111/jcpp.12285 </w:t>
      </w:r>
    </w:p>
    <w:p w14:paraId="7F4C665E" w14:textId="471B36CD" w:rsidR="00C82253" w:rsidRPr="001433A9" w:rsidRDefault="00333BCE"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Thurman, A. J., &amp; Hoyos Alvarez, C. (2020). Language performance in preschool-aged boys with nonsyndromic autism Spectrum disorder or fragile X syndrome. </w:t>
      </w:r>
      <w:r w:rsidR="006F2B15" w:rsidRPr="001433A9">
        <w:rPr>
          <w:i/>
          <w:noProof/>
          <w:color w:val="000000" w:themeColor="text1"/>
        </w:rPr>
        <w:t>Journal of Autism and Developmental Disorders</w:t>
      </w:r>
      <w:r w:rsidR="00C82253" w:rsidRPr="001433A9">
        <w:rPr>
          <w:noProof/>
          <w:color w:val="000000" w:themeColor="text1"/>
        </w:rPr>
        <w:t>,</w:t>
      </w:r>
      <w:r w:rsidR="00C82253" w:rsidRPr="001433A9">
        <w:rPr>
          <w:i/>
          <w:noProof/>
          <w:color w:val="000000" w:themeColor="text1"/>
        </w:rPr>
        <w:t xml:space="preserve"> 50</w:t>
      </w:r>
      <w:r w:rsidR="00C82253" w:rsidRPr="001433A9">
        <w:rPr>
          <w:noProof/>
          <w:color w:val="000000" w:themeColor="text1"/>
        </w:rPr>
        <w:t xml:space="preserve">(5), 1621-1638. https://doi.org/10.1007/s10803-019-03919-z </w:t>
      </w:r>
    </w:p>
    <w:p w14:paraId="594FA4CF" w14:textId="77777777" w:rsidR="002A70E9" w:rsidRPr="001433A9" w:rsidRDefault="00C82253" w:rsidP="00BB74E6">
      <w:pPr>
        <w:pStyle w:val="EndNoteBibliography"/>
        <w:ind w:left="720" w:hanging="720"/>
        <w:rPr>
          <w:noProof/>
          <w:color w:val="000000" w:themeColor="text1"/>
        </w:rPr>
      </w:pPr>
      <w:r w:rsidRPr="001433A9">
        <w:rPr>
          <w:noProof/>
          <w:color w:val="000000" w:themeColor="text1"/>
        </w:rPr>
        <w:t xml:space="preserve">Tomblin, J. B., Records, N. L., Buckwalter, P., Zhang, X., Smith, E., &amp; O’Brien, M. (1997). Prevalence of specific language impairment in kindergarten children. </w:t>
      </w:r>
      <w:r w:rsidRPr="001433A9">
        <w:rPr>
          <w:i/>
          <w:noProof/>
          <w:color w:val="000000" w:themeColor="text1"/>
        </w:rPr>
        <w:t>Journal of Speech, Language, and Hearing Research</w:t>
      </w:r>
      <w:r w:rsidRPr="001433A9">
        <w:rPr>
          <w:noProof/>
          <w:color w:val="000000" w:themeColor="text1"/>
        </w:rPr>
        <w:t>,</w:t>
      </w:r>
      <w:r w:rsidRPr="001433A9">
        <w:rPr>
          <w:i/>
          <w:noProof/>
          <w:color w:val="000000" w:themeColor="text1"/>
        </w:rPr>
        <w:t xml:space="preserve"> 40</w:t>
      </w:r>
      <w:r w:rsidRPr="001433A9">
        <w:rPr>
          <w:noProof/>
          <w:color w:val="000000" w:themeColor="text1"/>
        </w:rPr>
        <w:t>(6), 1245-1260.</w:t>
      </w:r>
    </w:p>
    <w:p w14:paraId="31001A29" w14:textId="5F7272E3" w:rsidR="00C82253" w:rsidRPr="001433A9" w:rsidRDefault="00C82253" w:rsidP="00BB74E6">
      <w:pPr>
        <w:pStyle w:val="EndNoteBibliography"/>
        <w:ind w:left="720" w:hanging="720"/>
        <w:rPr>
          <w:noProof/>
          <w:color w:val="000000" w:themeColor="text1"/>
        </w:rPr>
      </w:pPr>
      <w:r w:rsidRPr="001433A9">
        <w:rPr>
          <w:noProof/>
          <w:color w:val="000000" w:themeColor="text1"/>
        </w:rPr>
        <w:t xml:space="preserve"> </w:t>
      </w:r>
      <w:r w:rsidR="002A70E9" w:rsidRPr="001433A9">
        <w:rPr>
          <w:noProof/>
          <w:color w:val="000000" w:themeColor="text1"/>
        </w:rPr>
        <w:tab/>
      </w:r>
      <w:r w:rsidRPr="001433A9">
        <w:rPr>
          <w:noProof/>
          <w:color w:val="000000" w:themeColor="text1"/>
        </w:rPr>
        <w:t xml:space="preserve">https://doi.org/10.1044/jslhr.4006.1245 </w:t>
      </w:r>
    </w:p>
    <w:p w14:paraId="44273436" w14:textId="77777777" w:rsidR="000E578E" w:rsidRPr="001433A9" w:rsidRDefault="00C82253" w:rsidP="00BB74E6">
      <w:pPr>
        <w:pStyle w:val="EndNoteBibliography"/>
        <w:ind w:left="720" w:hanging="720"/>
        <w:rPr>
          <w:noProof/>
          <w:color w:val="000000" w:themeColor="text1"/>
        </w:rPr>
      </w:pPr>
      <w:r w:rsidRPr="001433A9">
        <w:rPr>
          <w:noProof/>
          <w:color w:val="000000" w:themeColor="text1"/>
        </w:rPr>
        <w:t>Tomblin, J. B., Records, N. L., &amp; Zhang, X. (1996). A system for the diagnosis of specific</w:t>
      </w:r>
    </w:p>
    <w:p w14:paraId="6BF87407" w14:textId="2F0AE57E" w:rsidR="00C82253" w:rsidRPr="001433A9" w:rsidRDefault="00C82253" w:rsidP="000E578E">
      <w:pPr>
        <w:pStyle w:val="EndNoteBibliography"/>
        <w:ind w:left="720"/>
        <w:rPr>
          <w:noProof/>
          <w:color w:val="000000" w:themeColor="text1"/>
        </w:rPr>
      </w:pPr>
      <w:r w:rsidRPr="001433A9">
        <w:rPr>
          <w:noProof/>
          <w:color w:val="000000" w:themeColor="text1"/>
        </w:rPr>
        <w:t xml:space="preserve">language impairment in kindergarten children. </w:t>
      </w:r>
      <w:r w:rsidRPr="001433A9">
        <w:rPr>
          <w:i/>
          <w:noProof/>
          <w:color w:val="000000" w:themeColor="text1"/>
        </w:rPr>
        <w:t>Journal of Speech, Language, and Hearing Research</w:t>
      </w:r>
      <w:r w:rsidRPr="001433A9">
        <w:rPr>
          <w:noProof/>
          <w:color w:val="000000" w:themeColor="text1"/>
        </w:rPr>
        <w:t>,</w:t>
      </w:r>
      <w:r w:rsidRPr="001433A9">
        <w:rPr>
          <w:i/>
          <w:noProof/>
          <w:color w:val="000000" w:themeColor="text1"/>
        </w:rPr>
        <w:t xml:space="preserve"> 39</w:t>
      </w:r>
      <w:r w:rsidRPr="001433A9">
        <w:rPr>
          <w:noProof/>
          <w:color w:val="000000" w:themeColor="text1"/>
        </w:rPr>
        <w:t xml:space="preserve">(6), 1284-1294. https://doi.org/10.1044/jshr.3906.1284 </w:t>
      </w:r>
    </w:p>
    <w:p w14:paraId="35882848" w14:textId="77777777" w:rsidR="00C82253" w:rsidRPr="001433A9" w:rsidRDefault="00C82253" w:rsidP="00BB74E6">
      <w:pPr>
        <w:pStyle w:val="EndNoteBibliography"/>
        <w:ind w:left="720" w:hanging="720"/>
        <w:rPr>
          <w:noProof/>
          <w:color w:val="000000" w:themeColor="text1"/>
        </w:rPr>
      </w:pPr>
      <w:r w:rsidRPr="001433A9">
        <w:rPr>
          <w:noProof/>
          <w:color w:val="000000" w:themeColor="text1"/>
        </w:rPr>
        <w:t xml:space="preserve">Veritas Health Innovation. (2021). </w:t>
      </w:r>
      <w:r w:rsidRPr="001433A9">
        <w:rPr>
          <w:i/>
          <w:noProof/>
          <w:color w:val="000000" w:themeColor="text1"/>
        </w:rPr>
        <w:t>Covidence</w:t>
      </w:r>
      <w:r w:rsidRPr="001433A9">
        <w:rPr>
          <w:noProof/>
          <w:color w:val="000000" w:themeColor="text1"/>
        </w:rPr>
        <w:t>.</w:t>
      </w:r>
      <w:r w:rsidRPr="001433A9">
        <w:rPr>
          <w:i/>
          <w:noProof/>
          <w:color w:val="000000" w:themeColor="text1"/>
        </w:rPr>
        <w:t xml:space="preserve"> </w:t>
      </w:r>
      <w:r w:rsidRPr="001433A9">
        <w:rPr>
          <w:noProof/>
          <w:color w:val="000000" w:themeColor="text1"/>
        </w:rPr>
        <w:t>In https://www.covidence.org</w:t>
      </w:r>
    </w:p>
    <w:p w14:paraId="2C5281A6" w14:textId="77777777" w:rsidR="000E578E" w:rsidRPr="001433A9" w:rsidRDefault="00C82253" w:rsidP="00BB74E6">
      <w:pPr>
        <w:pStyle w:val="EndNoteBibliography"/>
        <w:ind w:left="720" w:hanging="720"/>
        <w:rPr>
          <w:noProof/>
          <w:color w:val="000000" w:themeColor="text1"/>
        </w:rPr>
      </w:pPr>
      <w:r w:rsidRPr="001433A9">
        <w:rPr>
          <w:noProof/>
          <w:color w:val="000000" w:themeColor="text1"/>
        </w:rPr>
        <w:t>Viswanathan, M., Ansari, M., Berkman, N., Chang, S., Hartling, L., McPheeters, M., &amp;</w:t>
      </w:r>
    </w:p>
    <w:p w14:paraId="4BDD02D6" w14:textId="77777777" w:rsidR="00BA10A0" w:rsidRPr="001433A9" w:rsidRDefault="00C82253" w:rsidP="000E578E">
      <w:pPr>
        <w:pStyle w:val="EndNoteBibliography"/>
        <w:ind w:left="720"/>
        <w:rPr>
          <w:i/>
          <w:noProof/>
          <w:color w:val="000000" w:themeColor="text1"/>
        </w:rPr>
      </w:pPr>
      <w:r w:rsidRPr="001433A9">
        <w:rPr>
          <w:noProof/>
          <w:color w:val="000000" w:themeColor="text1"/>
        </w:rPr>
        <w:t xml:space="preserve">Treadwell, J. (2012). </w:t>
      </w:r>
      <w:r w:rsidRPr="001433A9">
        <w:rPr>
          <w:i/>
          <w:noProof/>
          <w:color w:val="000000" w:themeColor="text1"/>
        </w:rPr>
        <w:t>Assessing the risk of bias of individual studies in systematic reviews</w:t>
      </w:r>
    </w:p>
    <w:p w14:paraId="5C3C9822" w14:textId="77777777" w:rsidR="00BA10A0" w:rsidRPr="001433A9" w:rsidRDefault="00C82253" w:rsidP="000E578E">
      <w:pPr>
        <w:pStyle w:val="EndNoteBibliography"/>
        <w:ind w:left="720"/>
        <w:rPr>
          <w:i/>
          <w:noProof/>
          <w:color w:val="000000" w:themeColor="text1"/>
        </w:rPr>
      </w:pPr>
      <w:r w:rsidRPr="001433A9">
        <w:rPr>
          <w:i/>
          <w:noProof/>
          <w:color w:val="000000" w:themeColor="text1"/>
        </w:rPr>
        <w:t>of health care interventions: Methods guide for comparative effectiveness reviews</w:t>
      </w:r>
    </w:p>
    <w:p w14:paraId="437E0FD3" w14:textId="1BA52639" w:rsidR="00C82253" w:rsidRPr="001433A9" w:rsidRDefault="00C82253" w:rsidP="000E578E">
      <w:pPr>
        <w:pStyle w:val="EndNoteBibliography"/>
        <w:ind w:left="720"/>
        <w:rPr>
          <w:noProof/>
          <w:color w:val="000000" w:themeColor="text1"/>
        </w:rPr>
      </w:pPr>
      <w:r w:rsidRPr="001433A9">
        <w:rPr>
          <w:noProof/>
          <w:color w:val="000000" w:themeColor="text1"/>
        </w:rPr>
        <w:t>Agency for Healthcare Research and Quality. http://www.effectivehealthcare.ahrq.gov/</w:t>
      </w:r>
    </w:p>
    <w:p w14:paraId="4A9DBF6B" w14:textId="77777777" w:rsidR="00232C0D" w:rsidRPr="001433A9" w:rsidRDefault="003033DD"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Volden, J., Smith, I. M., Szatmari, P., Bryson, S., Fombonne, E., Mirenda, P., Roberts, W.,</w:t>
      </w:r>
    </w:p>
    <w:p w14:paraId="24C27A17" w14:textId="77777777" w:rsidR="00133735" w:rsidRPr="001433A9" w:rsidRDefault="00C82253" w:rsidP="00232C0D">
      <w:pPr>
        <w:pStyle w:val="EndNoteBibliography"/>
        <w:ind w:left="720"/>
        <w:rPr>
          <w:noProof/>
          <w:color w:val="000000" w:themeColor="text1"/>
        </w:rPr>
      </w:pPr>
      <w:r w:rsidRPr="001433A9">
        <w:rPr>
          <w:noProof/>
          <w:color w:val="000000" w:themeColor="text1"/>
        </w:rPr>
        <w:t>Vaillancourt, T., Waddell, C., &amp; Zwaigenbaum, L. (2011). Using the Preschool Language</w:t>
      </w:r>
    </w:p>
    <w:p w14:paraId="5044742C" w14:textId="77777777" w:rsidR="00133735" w:rsidRPr="001433A9" w:rsidRDefault="00C82253" w:rsidP="00232C0D">
      <w:pPr>
        <w:pStyle w:val="EndNoteBibliography"/>
        <w:ind w:left="720"/>
        <w:rPr>
          <w:i/>
          <w:noProof/>
          <w:color w:val="000000" w:themeColor="text1"/>
        </w:rPr>
      </w:pPr>
      <w:r w:rsidRPr="001433A9">
        <w:rPr>
          <w:noProof/>
          <w:color w:val="000000" w:themeColor="text1"/>
        </w:rPr>
        <w:t xml:space="preserve">Scale to characterize language in preschoolers with autism spectrum disorders. </w:t>
      </w:r>
      <w:r w:rsidRPr="001433A9">
        <w:rPr>
          <w:i/>
          <w:noProof/>
          <w:color w:val="000000" w:themeColor="text1"/>
        </w:rPr>
        <w:t>American</w:t>
      </w:r>
    </w:p>
    <w:p w14:paraId="5631D7EF" w14:textId="6D299F0A" w:rsidR="00C82253" w:rsidRPr="001433A9" w:rsidRDefault="00C82253" w:rsidP="00232C0D">
      <w:pPr>
        <w:pStyle w:val="EndNoteBibliography"/>
        <w:ind w:left="720"/>
        <w:rPr>
          <w:noProof/>
          <w:color w:val="000000" w:themeColor="text1"/>
        </w:rPr>
      </w:pPr>
      <w:r w:rsidRPr="001433A9">
        <w:rPr>
          <w:i/>
          <w:noProof/>
          <w:color w:val="000000" w:themeColor="text1"/>
        </w:rPr>
        <w:t>Journal of Speech-Language Pathology</w:t>
      </w:r>
      <w:r w:rsidRPr="001433A9">
        <w:rPr>
          <w:noProof/>
          <w:color w:val="000000" w:themeColor="text1"/>
        </w:rPr>
        <w:t>,</w:t>
      </w:r>
      <w:r w:rsidRPr="001433A9">
        <w:rPr>
          <w:i/>
          <w:noProof/>
          <w:color w:val="000000" w:themeColor="text1"/>
        </w:rPr>
        <w:t xml:space="preserve"> 20</w:t>
      </w:r>
      <w:r w:rsidRPr="001433A9">
        <w:rPr>
          <w:noProof/>
          <w:color w:val="000000" w:themeColor="text1"/>
        </w:rPr>
        <w:t xml:space="preserve">(3), 200-208. https://doi.org/10.1044/1058-0360(2011/10-0035) </w:t>
      </w:r>
    </w:p>
    <w:p w14:paraId="357377DA" w14:textId="77777777" w:rsidR="00FB023C" w:rsidRPr="001433A9" w:rsidRDefault="00C82253" w:rsidP="00BB74E6">
      <w:pPr>
        <w:pStyle w:val="EndNoteBibliography"/>
        <w:ind w:left="720" w:hanging="720"/>
        <w:rPr>
          <w:noProof/>
          <w:color w:val="000000" w:themeColor="text1"/>
        </w:rPr>
      </w:pPr>
      <w:r w:rsidRPr="001433A9">
        <w:rPr>
          <w:noProof/>
          <w:color w:val="000000" w:themeColor="text1"/>
        </w:rPr>
        <w:t>Walsh, R. J., Krabbendam, L., Dewinter, J., &amp; Begeer, S. (2018). Brief report: Gender identity</w:t>
      </w:r>
    </w:p>
    <w:p w14:paraId="2E2682EF" w14:textId="77777777" w:rsidR="00F81962" w:rsidRPr="001433A9" w:rsidRDefault="00C82253" w:rsidP="00FB023C">
      <w:pPr>
        <w:pStyle w:val="EndNoteBibliography"/>
        <w:ind w:left="720"/>
        <w:rPr>
          <w:noProof/>
          <w:color w:val="000000" w:themeColor="text1"/>
        </w:rPr>
      </w:pPr>
      <w:r w:rsidRPr="001433A9">
        <w:rPr>
          <w:noProof/>
          <w:color w:val="000000" w:themeColor="text1"/>
        </w:rPr>
        <w:t>differences in autistic adults: Associations with perceptual and socio-cognitive profiles.</w:t>
      </w:r>
    </w:p>
    <w:p w14:paraId="7C91C255" w14:textId="77777777" w:rsidR="00F81962" w:rsidRPr="001433A9" w:rsidRDefault="006F2B15" w:rsidP="00FB023C">
      <w:pPr>
        <w:pStyle w:val="EndNoteBibliography"/>
        <w:ind w:left="720"/>
        <w:rPr>
          <w:noProof/>
          <w:color w:val="000000" w:themeColor="text1"/>
        </w:rPr>
      </w:pPr>
      <w:r w:rsidRPr="001433A9">
        <w:rPr>
          <w:i/>
          <w:noProof/>
          <w:color w:val="000000" w:themeColor="text1"/>
        </w:rPr>
        <w:t>Journal of Autism and Developmental Disorders</w:t>
      </w:r>
      <w:r w:rsidR="00C82253" w:rsidRPr="001433A9">
        <w:rPr>
          <w:i/>
          <w:noProof/>
          <w:color w:val="000000" w:themeColor="text1"/>
        </w:rPr>
        <w:t>,</w:t>
      </w:r>
      <w:r w:rsidR="00C82253" w:rsidRPr="001433A9">
        <w:rPr>
          <w:noProof/>
          <w:color w:val="000000" w:themeColor="text1"/>
        </w:rPr>
        <w:t>,</w:t>
      </w:r>
      <w:r w:rsidR="00C82253" w:rsidRPr="001433A9">
        <w:rPr>
          <w:i/>
          <w:noProof/>
          <w:color w:val="000000" w:themeColor="text1"/>
        </w:rPr>
        <w:t xml:space="preserve"> 48</w:t>
      </w:r>
      <w:r w:rsidR="00C82253" w:rsidRPr="001433A9">
        <w:rPr>
          <w:noProof/>
          <w:color w:val="000000" w:themeColor="text1"/>
        </w:rPr>
        <w:t>(12), 4070-4078.</w:t>
      </w:r>
    </w:p>
    <w:p w14:paraId="5135D433" w14:textId="7ED9350E" w:rsidR="00C82253" w:rsidRPr="001433A9" w:rsidRDefault="00C82253" w:rsidP="00FB023C">
      <w:pPr>
        <w:pStyle w:val="EndNoteBibliography"/>
        <w:ind w:left="720"/>
        <w:rPr>
          <w:noProof/>
          <w:color w:val="000000" w:themeColor="text1"/>
        </w:rPr>
      </w:pPr>
      <w:r w:rsidRPr="001433A9">
        <w:rPr>
          <w:noProof/>
          <w:color w:val="000000" w:themeColor="text1"/>
        </w:rPr>
        <w:t xml:space="preserve">https://doi.org/10.1007/s10803-018-3702-y </w:t>
      </w:r>
    </w:p>
    <w:p w14:paraId="54E8DD20" w14:textId="77777777" w:rsidR="00CA38A2" w:rsidRPr="001433A9" w:rsidRDefault="00C82253" w:rsidP="00BB74E6">
      <w:pPr>
        <w:pStyle w:val="EndNoteBibliography"/>
        <w:ind w:left="720" w:hanging="720"/>
        <w:rPr>
          <w:noProof/>
          <w:color w:val="000000" w:themeColor="text1"/>
        </w:rPr>
      </w:pPr>
      <w:r w:rsidRPr="001433A9">
        <w:rPr>
          <w:noProof/>
          <w:color w:val="000000" w:themeColor="text1"/>
        </w:rPr>
        <w:t>Warrier, V., Greenberg, D. M., Weir, E., Buckingham, C., Smith, P., Lai, M. C., Allison, C., &amp;</w:t>
      </w:r>
    </w:p>
    <w:p w14:paraId="191A8358" w14:textId="0477F0A4" w:rsidR="00C82253" w:rsidRPr="001433A9" w:rsidRDefault="00C82253" w:rsidP="00CA38A2">
      <w:pPr>
        <w:pStyle w:val="EndNoteBibliography"/>
        <w:ind w:left="720"/>
        <w:rPr>
          <w:noProof/>
          <w:color w:val="000000" w:themeColor="text1"/>
        </w:rPr>
      </w:pPr>
      <w:r w:rsidRPr="001433A9">
        <w:rPr>
          <w:noProof/>
          <w:color w:val="000000" w:themeColor="text1"/>
        </w:rPr>
        <w:t xml:space="preserve">Baron-Cohen, S. (2020). Elevated rates of autism, other neurodevelopmental and psychiatric diagnoses, and autistic traits in transgender and gender-diverse individuals. </w:t>
      </w:r>
      <w:r w:rsidRPr="001433A9">
        <w:rPr>
          <w:i/>
          <w:noProof/>
          <w:color w:val="000000" w:themeColor="text1"/>
        </w:rPr>
        <w:t>Nature Communications</w:t>
      </w:r>
      <w:r w:rsidRPr="001433A9">
        <w:rPr>
          <w:noProof/>
          <w:color w:val="000000" w:themeColor="text1"/>
        </w:rPr>
        <w:t>,</w:t>
      </w:r>
      <w:r w:rsidRPr="001433A9">
        <w:rPr>
          <w:i/>
          <w:noProof/>
          <w:color w:val="000000" w:themeColor="text1"/>
        </w:rPr>
        <w:t xml:space="preserve"> 11</w:t>
      </w:r>
      <w:r w:rsidRPr="001433A9">
        <w:rPr>
          <w:noProof/>
          <w:color w:val="000000" w:themeColor="text1"/>
        </w:rPr>
        <w:t xml:space="preserve">(1), 3959. https://doi.org/10.1038/s41467-020-17794-1 </w:t>
      </w:r>
    </w:p>
    <w:p w14:paraId="66F0ABB2" w14:textId="77777777" w:rsidR="006D2598" w:rsidRPr="001433A9" w:rsidRDefault="00C82253" w:rsidP="00BB74E6">
      <w:pPr>
        <w:pStyle w:val="EndNoteBibliography"/>
        <w:ind w:left="720" w:hanging="720"/>
        <w:rPr>
          <w:noProof/>
          <w:color w:val="000000" w:themeColor="text1"/>
        </w:rPr>
      </w:pPr>
      <w:r w:rsidRPr="001433A9">
        <w:rPr>
          <w:noProof/>
          <w:color w:val="000000" w:themeColor="text1"/>
        </w:rPr>
        <w:lastRenderedPageBreak/>
        <w:t>West, E. A., Travers, J. C., Kemper, T. D., Liberty, L. M., Cote, D. L., McCollow, M. M., &amp;</w:t>
      </w:r>
    </w:p>
    <w:p w14:paraId="292D8024" w14:textId="39F7BBE8" w:rsidR="00C82253" w:rsidRPr="001433A9" w:rsidRDefault="00C82253" w:rsidP="006D2598">
      <w:pPr>
        <w:pStyle w:val="EndNoteBibliography"/>
        <w:ind w:left="720"/>
        <w:rPr>
          <w:noProof/>
          <w:color w:val="000000" w:themeColor="text1"/>
        </w:rPr>
      </w:pPr>
      <w:r w:rsidRPr="001433A9">
        <w:rPr>
          <w:noProof/>
          <w:color w:val="000000" w:themeColor="text1"/>
        </w:rPr>
        <w:t xml:space="preserve">Stansberry Brusnahan, L. L. (2016). Racial and ethnic diversity of participants in research supporting evidence-based practices for learners with autism spectrum disorder. </w:t>
      </w:r>
      <w:r w:rsidRPr="001433A9">
        <w:rPr>
          <w:i/>
          <w:noProof/>
          <w:color w:val="000000" w:themeColor="text1"/>
        </w:rPr>
        <w:t>The Journal of Special Education</w:t>
      </w:r>
      <w:r w:rsidRPr="001433A9">
        <w:rPr>
          <w:noProof/>
          <w:color w:val="000000" w:themeColor="text1"/>
        </w:rPr>
        <w:t>,</w:t>
      </w:r>
      <w:r w:rsidRPr="001433A9">
        <w:rPr>
          <w:i/>
          <w:noProof/>
          <w:color w:val="000000" w:themeColor="text1"/>
        </w:rPr>
        <w:t xml:space="preserve"> 50</w:t>
      </w:r>
      <w:r w:rsidRPr="001433A9">
        <w:rPr>
          <w:noProof/>
          <w:color w:val="000000" w:themeColor="text1"/>
        </w:rPr>
        <w:t xml:space="preserve">(3), 151-163. https://doi.org/10.1177/0022466916632495 </w:t>
      </w:r>
    </w:p>
    <w:p w14:paraId="5199AF42" w14:textId="61184641" w:rsidR="00C82253" w:rsidRPr="001433A9" w:rsidRDefault="00AA17FB"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 xml:space="preserve">Whitehouse, A. J., Barry, J. G., &amp; Bishop, D. V. (2008). Further defining the language impairment of autism: is there a specific language impairment subtype? </w:t>
      </w:r>
      <w:r w:rsidR="00C82253" w:rsidRPr="001433A9">
        <w:rPr>
          <w:i/>
          <w:noProof/>
          <w:color w:val="000000" w:themeColor="text1"/>
        </w:rPr>
        <w:t>Journal of Communication Disorders</w:t>
      </w:r>
      <w:r w:rsidR="00C82253" w:rsidRPr="001433A9">
        <w:rPr>
          <w:noProof/>
          <w:color w:val="000000" w:themeColor="text1"/>
        </w:rPr>
        <w:t>,</w:t>
      </w:r>
      <w:r w:rsidR="00C82253" w:rsidRPr="001433A9">
        <w:rPr>
          <w:i/>
          <w:noProof/>
          <w:color w:val="000000" w:themeColor="text1"/>
        </w:rPr>
        <w:t xml:space="preserve"> 41</w:t>
      </w:r>
      <w:r w:rsidR="00C82253" w:rsidRPr="001433A9">
        <w:rPr>
          <w:noProof/>
          <w:color w:val="000000" w:themeColor="text1"/>
        </w:rPr>
        <w:t xml:space="preserve">(4), 319-336. https://doi.org/10.1016/j.jcomdis.2008.01.002 </w:t>
      </w:r>
    </w:p>
    <w:p w14:paraId="00C00345" w14:textId="15A3EE25" w:rsidR="00E31A69" w:rsidRPr="001433A9" w:rsidRDefault="00E31A69" w:rsidP="00BB74E6">
      <w:pPr>
        <w:pStyle w:val="EndNoteBibliography"/>
        <w:ind w:left="720" w:hanging="720"/>
        <w:rPr>
          <w:rFonts w:eastAsia="Times New Roman"/>
          <w:color w:val="000000" w:themeColor="text1"/>
          <w:shd w:val="clear" w:color="auto" w:fill="FFFFFF"/>
          <w:lang w:eastAsia="zh-CN"/>
        </w:rPr>
      </w:pPr>
      <w:r w:rsidRPr="001433A9">
        <w:rPr>
          <w:rFonts w:eastAsia="Times New Roman"/>
          <w:color w:val="000000" w:themeColor="text1"/>
          <w:shd w:val="clear" w:color="auto" w:fill="FFFFFF"/>
          <w:lang w:eastAsia="zh-CN"/>
        </w:rPr>
        <w:t>Wilton, L. S., Bell, A. N., Vahradyan, M., &amp; Kaiser, C. R. (2020). Show don’t tell: Diversity Dishonesty harms racial/ethnic minorities at work. </w:t>
      </w:r>
      <w:r w:rsidRPr="001433A9">
        <w:rPr>
          <w:rFonts w:eastAsia="Times New Roman"/>
          <w:i/>
          <w:iCs/>
          <w:color w:val="000000" w:themeColor="text1"/>
          <w:shd w:val="clear" w:color="auto" w:fill="FFFFFF"/>
          <w:lang w:eastAsia="zh-CN"/>
        </w:rPr>
        <w:t>Personality and Social Psychology Bulletin</w:t>
      </w:r>
      <w:r w:rsidRPr="001433A9">
        <w:rPr>
          <w:rFonts w:eastAsia="Times New Roman"/>
          <w:color w:val="000000" w:themeColor="text1"/>
          <w:shd w:val="clear" w:color="auto" w:fill="FFFFFF"/>
          <w:lang w:eastAsia="zh-CN"/>
        </w:rPr>
        <w:t>, </w:t>
      </w:r>
      <w:r w:rsidRPr="001433A9">
        <w:rPr>
          <w:rFonts w:eastAsia="Times New Roman"/>
          <w:i/>
          <w:iCs/>
          <w:color w:val="000000" w:themeColor="text1"/>
          <w:shd w:val="clear" w:color="auto" w:fill="FFFFFF"/>
          <w:lang w:eastAsia="zh-CN"/>
        </w:rPr>
        <w:t>46</w:t>
      </w:r>
      <w:r w:rsidRPr="001433A9">
        <w:rPr>
          <w:rFonts w:eastAsia="Times New Roman"/>
          <w:color w:val="000000" w:themeColor="text1"/>
          <w:shd w:val="clear" w:color="auto" w:fill="FFFFFF"/>
          <w:lang w:eastAsia="zh-CN"/>
        </w:rPr>
        <w:t>(8), 1171–1185. </w:t>
      </w:r>
      <w:r w:rsidR="00D1609E" w:rsidRPr="001433A9">
        <w:rPr>
          <w:rFonts w:eastAsia="Times New Roman"/>
          <w:color w:val="000000" w:themeColor="text1"/>
          <w:shd w:val="clear" w:color="auto" w:fill="FFFFFF"/>
          <w:lang w:eastAsia="zh-CN"/>
        </w:rPr>
        <w:t>https://doi.org/10.1177/0146167219897149</w:t>
      </w:r>
    </w:p>
    <w:p w14:paraId="6A6D3D6A" w14:textId="7C90D448" w:rsidR="00D1609E" w:rsidRPr="001433A9" w:rsidRDefault="00D1609E" w:rsidP="00BB74E6">
      <w:pPr>
        <w:pStyle w:val="EndNoteBibliography"/>
        <w:ind w:left="720" w:hanging="720"/>
        <w:rPr>
          <w:noProof/>
          <w:color w:val="000000" w:themeColor="text1"/>
        </w:rPr>
      </w:pPr>
      <w:r w:rsidRPr="001433A9">
        <w:rPr>
          <w:rFonts w:eastAsia="Times New Roman"/>
          <w:color w:val="000000" w:themeColor="text1"/>
          <w:shd w:val="clear" w:color="auto" w:fill="FFFFFF"/>
          <w:lang w:eastAsia="zh-CN"/>
        </w:rPr>
        <w:t>Wolfram, W.</w:t>
      </w:r>
      <w:r w:rsidRPr="001433A9">
        <w:rPr>
          <w:noProof/>
          <w:color w:val="000000" w:themeColor="text1"/>
        </w:rPr>
        <w:t xml:space="preserve">, &amp; Ward, B. (2006). </w:t>
      </w:r>
      <w:r w:rsidRPr="001433A9">
        <w:rPr>
          <w:i/>
          <w:iCs/>
          <w:noProof/>
          <w:color w:val="000000" w:themeColor="text1"/>
        </w:rPr>
        <w:t>American voices: How dialects differ from coast to coast</w:t>
      </w:r>
      <w:r w:rsidRPr="001433A9">
        <w:rPr>
          <w:noProof/>
          <w:color w:val="000000" w:themeColor="text1"/>
        </w:rPr>
        <w:t>. Blackwell.</w:t>
      </w:r>
    </w:p>
    <w:p w14:paraId="4992541E" w14:textId="19AD4871" w:rsidR="00C77796" w:rsidRPr="001433A9" w:rsidRDefault="003033DD"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Worth, S., &amp; Reynolds, S. (2008). The assessment and identification of language impairment in</w:t>
      </w:r>
    </w:p>
    <w:p w14:paraId="3EE89D65" w14:textId="77777777" w:rsidR="00C77796" w:rsidRPr="001433A9" w:rsidRDefault="00C82253" w:rsidP="00C77796">
      <w:pPr>
        <w:pStyle w:val="EndNoteBibliography"/>
        <w:ind w:left="720"/>
        <w:rPr>
          <w:noProof/>
          <w:color w:val="000000" w:themeColor="text1"/>
        </w:rPr>
      </w:pPr>
      <w:r w:rsidRPr="001433A9">
        <w:rPr>
          <w:noProof/>
          <w:color w:val="000000" w:themeColor="text1"/>
        </w:rPr>
        <w:t xml:space="preserve">Asperger's syndrome: A case study. </w:t>
      </w:r>
      <w:r w:rsidRPr="001433A9">
        <w:rPr>
          <w:i/>
          <w:noProof/>
          <w:color w:val="000000" w:themeColor="text1"/>
        </w:rPr>
        <w:t>Child Language Teaching and Therapy</w:t>
      </w:r>
      <w:r w:rsidRPr="001433A9">
        <w:rPr>
          <w:noProof/>
          <w:color w:val="000000" w:themeColor="text1"/>
        </w:rPr>
        <w:t>,</w:t>
      </w:r>
      <w:r w:rsidRPr="001433A9">
        <w:rPr>
          <w:i/>
          <w:noProof/>
          <w:color w:val="000000" w:themeColor="text1"/>
        </w:rPr>
        <w:t xml:space="preserve"> 24</w:t>
      </w:r>
      <w:r w:rsidRPr="001433A9">
        <w:rPr>
          <w:noProof/>
          <w:color w:val="000000" w:themeColor="text1"/>
        </w:rPr>
        <w:t>(1), 55-</w:t>
      </w:r>
    </w:p>
    <w:p w14:paraId="0FE54A13" w14:textId="6D9D1983" w:rsidR="00C82253" w:rsidRPr="001433A9" w:rsidRDefault="00C82253" w:rsidP="00C77796">
      <w:pPr>
        <w:pStyle w:val="EndNoteBibliography"/>
        <w:ind w:left="720"/>
        <w:rPr>
          <w:noProof/>
          <w:color w:val="000000" w:themeColor="text1"/>
        </w:rPr>
      </w:pPr>
      <w:r w:rsidRPr="001433A9">
        <w:rPr>
          <w:noProof/>
          <w:color w:val="000000" w:themeColor="text1"/>
        </w:rPr>
        <w:t xml:space="preserve">71. https://doi.org/10.1177/0265659007084568 </w:t>
      </w:r>
    </w:p>
    <w:p w14:paraId="420BB60A" w14:textId="77777777" w:rsidR="00A404FE" w:rsidRPr="001433A9" w:rsidRDefault="002D0044" w:rsidP="00BB74E6">
      <w:pPr>
        <w:pStyle w:val="EndNoteBibliography"/>
        <w:ind w:left="720" w:hanging="720"/>
        <w:rPr>
          <w:noProof/>
          <w:color w:val="000000" w:themeColor="text1"/>
        </w:rPr>
      </w:pPr>
      <w:r w:rsidRPr="001433A9">
        <w:rPr>
          <w:noProof/>
          <w:color w:val="000000" w:themeColor="text1"/>
        </w:rPr>
        <w:t>*</w:t>
      </w:r>
      <w:r w:rsidR="00C82253" w:rsidRPr="001433A9">
        <w:rPr>
          <w:noProof/>
          <w:color w:val="000000" w:themeColor="text1"/>
        </w:rPr>
        <w:t>Woynaroski, T., Yoder, P., &amp; Watson, L. R. (2016). Atypical cross‐modal profiles and</w:t>
      </w:r>
    </w:p>
    <w:p w14:paraId="6A577F3C" w14:textId="76B99321" w:rsidR="00C82253" w:rsidRPr="001433A9" w:rsidRDefault="00C82253" w:rsidP="00A404FE">
      <w:pPr>
        <w:pStyle w:val="EndNoteBibliography"/>
        <w:ind w:left="720"/>
        <w:rPr>
          <w:noProof/>
          <w:color w:val="000000" w:themeColor="text1"/>
        </w:rPr>
      </w:pPr>
      <w:r w:rsidRPr="001433A9">
        <w:rPr>
          <w:noProof/>
          <w:color w:val="000000" w:themeColor="text1"/>
        </w:rPr>
        <w:t xml:space="preserve">longitudinal associations between vocabulary scores in initially minimally verbal children with ASD. </w:t>
      </w:r>
      <w:r w:rsidRPr="001433A9">
        <w:rPr>
          <w:i/>
          <w:noProof/>
          <w:color w:val="000000" w:themeColor="text1"/>
        </w:rPr>
        <w:t>Autism Research</w:t>
      </w:r>
      <w:r w:rsidRPr="001433A9">
        <w:rPr>
          <w:noProof/>
          <w:color w:val="000000" w:themeColor="text1"/>
        </w:rPr>
        <w:t>,</w:t>
      </w:r>
      <w:r w:rsidRPr="001433A9">
        <w:rPr>
          <w:i/>
          <w:noProof/>
          <w:color w:val="000000" w:themeColor="text1"/>
        </w:rPr>
        <w:t xml:space="preserve"> 9</w:t>
      </w:r>
      <w:r w:rsidRPr="001433A9">
        <w:rPr>
          <w:noProof/>
          <w:color w:val="000000" w:themeColor="text1"/>
        </w:rPr>
        <w:t xml:space="preserve">(2), 301-310. https://doi.org/10.1002/aur.1516 </w:t>
      </w:r>
    </w:p>
    <w:p w14:paraId="75AF0F5B" w14:textId="77777777" w:rsidR="00FD1F9C" w:rsidRPr="001433A9" w:rsidRDefault="00C82253" w:rsidP="00F85CC9">
      <w:pPr>
        <w:pStyle w:val="EndNoteBibliography"/>
        <w:ind w:left="720" w:hanging="720"/>
        <w:rPr>
          <w:noProof/>
          <w:color w:val="000000" w:themeColor="text1"/>
        </w:rPr>
      </w:pPr>
      <w:r w:rsidRPr="001433A9">
        <w:rPr>
          <w:noProof/>
          <w:color w:val="000000" w:themeColor="text1"/>
        </w:rPr>
        <w:t>Zamora, I., Williams, M. E., Higareda, M., Wheeler, B. Y., &amp; Levitt, P. (2016). Brief report:</w:t>
      </w:r>
    </w:p>
    <w:p w14:paraId="607F44E2" w14:textId="77777777" w:rsidR="002F1666" w:rsidRPr="001433A9" w:rsidRDefault="00C82253" w:rsidP="00FD1F9C">
      <w:pPr>
        <w:pStyle w:val="EndNoteBibliography"/>
        <w:ind w:left="720"/>
        <w:rPr>
          <w:i/>
          <w:noProof/>
          <w:color w:val="000000" w:themeColor="text1"/>
        </w:rPr>
      </w:pPr>
      <w:r w:rsidRPr="001433A9">
        <w:rPr>
          <w:noProof/>
          <w:color w:val="000000" w:themeColor="text1"/>
        </w:rPr>
        <w:t xml:space="preserve">Recruitment and retention of minority children for autism research. </w:t>
      </w:r>
      <w:r w:rsidR="006F2B15" w:rsidRPr="001433A9">
        <w:rPr>
          <w:i/>
          <w:noProof/>
          <w:color w:val="000000" w:themeColor="text1"/>
        </w:rPr>
        <w:t>Journal of Autism</w:t>
      </w:r>
    </w:p>
    <w:p w14:paraId="75EF4F8D" w14:textId="77777777" w:rsidR="00AB1433" w:rsidRPr="001433A9" w:rsidRDefault="006F2B15" w:rsidP="00FD1F9C">
      <w:pPr>
        <w:pStyle w:val="EndNoteBibliography"/>
        <w:ind w:left="720"/>
        <w:rPr>
          <w:noProof/>
          <w:color w:val="000000" w:themeColor="text1"/>
        </w:rPr>
      </w:pPr>
      <w:r w:rsidRPr="001433A9">
        <w:rPr>
          <w:i/>
          <w:noProof/>
          <w:color w:val="000000" w:themeColor="text1"/>
        </w:rPr>
        <w:t>and Developmental Disorders</w:t>
      </w:r>
      <w:r w:rsidR="00C82253" w:rsidRPr="001433A9">
        <w:rPr>
          <w:noProof/>
          <w:color w:val="000000" w:themeColor="text1"/>
        </w:rPr>
        <w:t>,</w:t>
      </w:r>
      <w:r w:rsidR="00C82253" w:rsidRPr="001433A9">
        <w:rPr>
          <w:i/>
          <w:noProof/>
          <w:color w:val="000000" w:themeColor="text1"/>
        </w:rPr>
        <w:t xml:space="preserve"> 46</w:t>
      </w:r>
      <w:r w:rsidR="00C82253" w:rsidRPr="001433A9">
        <w:rPr>
          <w:noProof/>
          <w:color w:val="000000" w:themeColor="text1"/>
        </w:rPr>
        <w:t xml:space="preserve">(2), 698-703. </w:t>
      </w:r>
      <w:r w:rsidR="00906D6D" w:rsidRPr="001433A9">
        <w:rPr>
          <w:noProof/>
          <w:color w:val="000000" w:themeColor="text1"/>
        </w:rPr>
        <w:t>https://doi.org/10.1007/s10803-015-2603-6</w:t>
      </w:r>
    </w:p>
    <w:p w14:paraId="3D483ADD" w14:textId="77777777" w:rsidR="00AB1433" w:rsidRPr="001433A9" w:rsidRDefault="00AB1433" w:rsidP="00FD1F9C">
      <w:pPr>
        <w:pStyle w:val="EndNoteBibliography"/>
        <w:ind w:left="720"/>
        <w:rPr>
          <w:noProof/>
          <w:color w:val="000000" w:themeColor="text1"/>
        </w:rPr>
      </w:pPr>
    </w:p>
    <w:p w14:paraId="7E474941" w14:textId="6D41460C" w:rsidR="003755D3" w:rsidRPr="001433A9" w:rsidRDefault="00AB1433" w:rsidP="003755D3">
      <w:pPr>
        <w:pStyle w:val="EndNoteBibliography"/>
        <w:ind w:left="720" w:hanging="720"/>
        <w:rPr>
          <w:noProof/>
        </w:rPr>
      </w:pPr>
      <w:r w:rsidRPr="001433A9">
        <w:rPr>
          <w:noProof/>
          <w:color w:val="000000" w:themeColor="text1"/>
        </w:rPr>
        <w:fldChar w:fldCharType="begin"/>
      </w:r>
      <w:r w:rsidRPr="001433A9">
        <w:rPr>
          <w:noProof/>
          <w:color w:val="000000" w:themeColor="text1"/>
        </w:rPr>
        <w:instrText xml:space="preserve"> ADDIN EN.REFLIST </w:instrText>
      </w:r>
      <w:r w:rsidRPr="001433A9">
        <w:rPr>
          <w:noProof/>
          <w:color w:val="000000" w:themeColor="text1"/>
        </w:rPr>
        <w:fldChar w:fldCharType="separate"/>
      </w:r>
      <w:r w:rsidR="003755D3" w:rsidRPr="001433A9">
        <w:rPr>
          <w:noProof/>
        </w:rPr>
        <w:t xml:space="preserve">Bauer, G. R., Churchill, S. M., Mahendran, M., Walwyn, C., Lizotte, D., &amp; Villa-Rueda, A. A. (2021). Intersectionality in quantitative research: A systematic review of its emergence and applications of theory and methods. </w:t>
      </w:r>
      <w:r w:rsidR="003755D3" w:rsidRPr="001433A9">
        <w:rPr>
          <w:i/>
          <w:noProof/>
        </w:rPr>
        <w:t>SSM - Population Health,</w:t>
      </w:r>
      <w:r w:rsidR="003755D3" w:rsidRPr="001433A9">
        <w:rPr>
          <w:noProof/>
        </w:rPr>
        <w:t>,</w:t>
      </w:r>
      <w:r w:rsidR="003755D3" w:rsidRPr="001433A9">
        <w:rPr>
          <w:i/>
          <w:noProof/>
        </w:rPr>
        <w:t xml:space="preserve"> 14</w:t>
      </w:r>
      <w:r w:rsidR="003755D3" w:rsidRPr="001433A9">
        <w:rPr>
          <w:noProof/>
        </w:rPr>
        <w:t xml:space="preserve">, 100798. </w:t>
      </w:r>
      <w:hyperlink r:id="rId15" w:history="1">
        <w:r w:rsidR="003755D3" w:rsidRPr="001433A9">
          <w:rPr>
            <w:rStyle w:val="Hyperlink"/>
            <w:noProof/>
            <w:u w:val="none"/>
          </w:rPr>
          <w:t>https://doi.org/10.1016/j.ssmph.2021.100798</w:t>
        </w:r>
      </w:hyperlink>
      <w:r w:rsidR="003755D3" w:rsidRPr="001433A9">
        <w:rPr>
          <w:noProof/>
        </w:rPr>
        <w:t xml:space="preserve"> </w:t>
      </w:r>
    </w:p>
    <w:p w14:paraId="1090BB4B" w14:textId="77777777" w:rsidR="003755D3" w:rsidRPr="001433A9" w:rsidRDefault="003755D3" w:rsidP="003755D3">
      <w:pPr>
        <w:pStyle w:val="EndNoteBibliography"/>
        <w:ind w:left="720" w:hanging="720"/>
        <w:rPr>
          <w:noProof/>
        </w:rPr>
      </w:pPr>
      <w:r w:rsidRPr="001433A9">
        <w:rPr>
          <w:noProof/>
        </w:rPr>
        <w:t xml:space="preserve">Botha, M. (2022). Community psychology as reparations for violence in the construction of autism knowledge. In </w:t>
      </w:r>
      <w:r w:rsidRPr="001433A9">
        <w:rPr>
          <w:i/>
          <w:noProof/>
        </w:rPr>
        <w:t>The Routledge international handbook of critical autism studies</w:t>
      </w:r>
      <w:r w:rsidRPr="001433A9">
        <w:rPr>
          <w:noProof/>
        </w:rPr>
        <w:t xml:space="preserve"> (pp. 76-94). Routledge. </w:t>
      </w:r>
    </w:p>
    <w:p w14:paraId="03078EBF" w14:textId="58B9A2D8" w:rsidR="003755D3" w:rsidRPr="001433A9" w:rsidRDefault="003755D3" w:rsidP="003755D3">
      <w:pPr>
        <w:pStyle w:val="EndNoteBibliography"/>
        <w:ind w:left="720" w:hanging="720"/>
        <w:rPr>
          <w:noProof/>
        </w:rPr>
      </w:pPr>
      <w:r w:rsidRPr="001433A9">
        <w:rPr>
          <w:noProof/>
        </w:rPr>
        <w:t xml:space="preserve">Botha, M., &amp; Cage, E. (2022). “Autism research is in crisis”: A mixed method study of researcher’s constructions of autistic people and autism research. </w:t>
      </w:r>
      <w:r w:rsidRPr="001433A9">
        <w:rPr>
          <w:i/>
          <w:noProof/>
        </w:rPr>
        <w:t>Frontiers in psychology</w:t>
      </w:r>
      <w:r w:rsidRPr="001433A9">
        <w:rPr>
          <w:noProof/>
        </w:rPr>
        <w:t>,</w:t>
      </w:r>
      <w:r w:rsidRPr="001433A9">
        <w:rPr>
          <w:i/>
          <w:noProof/>
        </w:rPr>
        <w:t xml:space="preserve"> 13</w:t>
      </w:r>
      <w:r w:rsidRPr="001433A9">
        <w:rPr>
          <w:noProof/>
        </w:rPr>
        <w:t xml:space="preserve">, 7397. </w:t>
      </w:r>
      <w:hyperlink r:id="rId16" w:history="1">
        <w:r w:rsidRPr="001433A9">
          <w:rPr>
            <w:rStyle w:val="Hyperlink"/>
            <w:noProof/>
            <w:u w:val="none"/>
          </w:rPr>
          <w:t>https://doi.org/10.3389/fpsyg.2022.1050897</w:t>
        </w:r>
      </w:hyperlink>
      <w:r w:rsidRPr="001433A9">
        <w:rPr>
          <w:noProof/>
        </w:rPr>
        <w:t xml:space="preserve"> </w:t>
      </w:r>
    </w:p>
    <w:p w14:paraId="72A19466" w14:textId="29330323" w:rsidR="003755D3" w:rsidRPr="001433A9" w:rsidRDefault="003755D3" w:rsidP="003755D3">
      <w:pPr>
        <w:pStyle w:val="EndNoteBibliography"/>
        <w:ind w:left="720" w:hanging="720"/>
        <w:rPr>
          <w:noProof/>
        </w:rPr>
      </w:pPr>
      <w:r w:rsidRPr="001433A9">
        <w:rPr>
          <w:noProof/>
        </w:rPr>
        <w:t xml:space="preserve">Catrone, R. G., Baires, N. A., Martin, M. R., &amp; Brown-Hollie, J. P. (2022). An intersectional examination of disability and race models in behavior-analytic practice. </w:t>
      </w:r>
      <w:r w:rsidRPr="001433A9">
        <w:rPr>
          <w:i/>
          <w:noProof/>
        </w:rPr>
        <w:t>Behavior and Social Issues</w:t>
      </w:r>
      <w:r w:rsidRPr="001433A9">
        <w:rPr>
          <w:noProof/>
        </w:rPr>
        <w:t xml:space="preserve">, 1-30. </w:t>
      </w:r>
      <w:hyperlink r:id="rId17" w:history="1">
        <w:r w:rsidRPr="001433A9">
          <w:rPr>
            <w:rStyle w:val="Hyperlink"/>
            <w:noProof/>
            <w:u w:val="none"/>
          </w:rPr>
          <w:t>https://doi.org/10.1007/s42822-022-00116-z</w:t>
        </w:r>
      </w:hyperlink>
      <w:r w:rsidRPr="001433A9">
        <w:rPr>
          <w:noProof/>
        </w:rPr>
        <w:t xml:space="preserve"> </w:t>
      </w:r>
    </w:p>
    <w:p w14:paraId="277357C0" w14:textId="552F1CA8" w:rsidR="003755D3" w:rsidRPr="001433A9" w:rsidRDefault="003755D3" w:rsidP="003755D3">
      <w:pPr>
        <w:pStyle w:val="EndNoteBibliography"/>
        <w:ind w:left="720" w:hanging="720"/>
        <w:rPr>
          <w:noProof/>
        </w:rPr>
      </w:pPr>
      <w:r w:rsidRPr="001433A9">
        <w:rPr>
          <w:noProof/>
        </w:rPr>
        <w:t xml:space="preserve">Lee, J., Meadan-Kaplansky, H., Sands, M., Terol, A. K., Martin, M. R., &amp; Yoon, C. (n.d.). The Cultural Adaptation Checklist (CAC): Quality indicators for cultural adaptation of intervention and practice. </w:t>
      </w:r>
      <w:hyperlink r:id="rId18" w:history="1">
        <w:r w:rsidRPr="001433A9">
          <w:rPr>
            <w:rStyle w:val="Hyperlink"/>
            <w:noProof/>
            <w:u w:val="none"/>
          </w:rPr>
          <w:t>https://doi.org/10.31219/osf.io/r592m</w:t>
        </w:r>
      </w:hyperlink>
      <w:r w:rsidRPr="001433A9">
        <w:rPr>
          <w:noProof/>
        </w:rPr>
        <w:t xml:space="preserve"> </w:t>
      </w:r>
    </w:p>
    <w:p w14:paraId="52BDDC52" w14:textId="65C1572D" w:rsidR="003755D3" w:rsidRPr="001433A9" w:rsidRDefault="003755D3" w:rsidP="003755D3">
      <w:pPr>
        <w:pStyle w:val="EndNoteBibliography"/>
        <w:ind w:left="720" w:hanging="720"/>
        <w:rPr>
          <w:noProof/>
        </w:rPr>
      </w:pPr>
      <w:r w:rsidRPr="001433A9">
        <w:rPr>
          <w:noProof/>
        </w:rPr>
        <w:t xml:space="preserve">Oleson, J. J., Brown, G. D., &amp; McCreery, R. (2019). The evolution of statistical methods in speech, language, and hearing sciences. </w:t>
      </w:r>
      <w:r w:rsidRPr="001433A9">
        <w:rPr>
          <w:i/>
          <w:noProof/>
        </w:rPr>
        <w:t>Journal of Speech, Language, and Hearing Research</w:t>
      </w:r>
      <w:r w:rsidRPr="001433A9">
        <w:rPr>
          <w:noProof/>
        </w:rPr>
        <w:t>,</w:t>
      </w:r>
      <w:r w:rsidRPr="001433A9">
        <w:rPr>
          <w:i/>
          <w:noProof/>
        </w:rPr>
        <w:t xml:space="preserve"> 62</w:t>
      </w:r>
      <w:r w:rsidRPr="001433A9">
        <w:rPr>
          <w:noProof/>
        </w:rPr>
        <w:t xml:space="preserve">(3), 498-506. </w:t>
      </w:r>
      <w:hyperlink r:id="rId19" w:history="1">
        <w:r w:rsidRPr="001433A9">
          <w:rPr>
            <w:rStyle w:val="Hyperlink"/>
            <w:noProof/>
            <w:u w:val="none"/>
          </w:rPr>
          <w:t>https://doi.org/10.1044/2018_JSLHR-H-ASTM-18-0378</w:t>
        </w:r>
      </w:hyperlink>
      <w:r w:rsidRPr="001433A9">
        <w:rPr>
          <w:noProof/>
        </w:rPr>
        <w:t xml:space="preserve"> </w:t>
      </w:r>
    </w:p>
    <w:p w14:paraId="48B69DC7" w14:textId="5F2A33CF" w:rsidR="003755D3" w:rsidRPr="001433A9" w:rsidRDefault="003755D3" w:rsidP="003755D3">
      <w:pPr>
        <w:pStyle w:val="EndNoteBibliography"/>
        <w:ind w:left="720" w:hanging="720"/>
        <w:rPr>
          <w:noProof/>
        </w:rPr>
      </w:pPr>
      <w:r w:rsidRPr="001433A9">
        <w:rPr>
          <w:noProof/>
        </w:rPr>
        <w:t xml:space="preserve">Roberts, S. O. (in press). Dealing with diversity in psychology: Science and ideology. </w:t>
      </w:r>
      <w:r w:rsidRPr="001433A9">
        <w:rPr>
          <w:i/>
          <w:noProof/>
        </w:rPr>
        <w:t>Perspectives on Psychological Science,</w:t>
      </w:r>
      <w:r w:rsidRPr="001433A9">
        <w:rPr>
          <w:noProof/>
        </w:rPr>
        <w:t xml:space="preserve">. </w:t>
      </w:r>
      <w:hyperlink r:id="rId20" w:history="1">
        <w:r w:rsidRPr="001433A9">
          <w:rPr>
            <w:rStyle w:val="Hyperlink"/>
            <w:noProof/>
            <w:u w:val="none"/>
          </w:rPr>
          <w:t>https://doi.org/10.31234/osf.io/xk4yu</w:t>
        </w:r>
      </w:hyperlink>
      <w:r w:rsidRPr="001433A9">
        <w:rPr>
          <w:noProof/>
        </w:rPr>
        <w:t xml:space="preserve"> </w:t>
      </w:r>
    </w:p>
    <w:p w14:paraId="7366D9F0" w14:textId="1572557D" w:rsidR="003755D3" w:rsidRPr="001433A9" w:rsidRDefault="003755D3" w:rsidP="003755D3">
      <w:pPr>
        <w:pStyle w:val="EndNoteBibliography"/>
        <w:ind w:left="720" w:hanging="720"/>
        <w:rPr>
          <w:noProof/>
        </w:rPr>
      </w:pPr>
      <w:r w:rsidRPr="001433A9">
        <w:rPr>
          <w:noProof/>
        </w:rPr>
        <w:lastRenderedPageBreak/>
        <w:t xml:space="preserve">Shogren, K. A., Wehmeyer, M. L., Palmer, S. B., Rifenbark, G. G., &amp; Little, T. D. (2015). Relationships between self-determination and postschool outcomes for youth with disabilities. </w:t>
      </w:r>
      <w:r w:rsidRPr="001433A9">
        <w:rPr>
          <w:i/>
          <w:noProof/>
        </w:rPr>
        <w:t>The Journal of Special Education</w:t>
      </w:r>
      <w:r w:rsidRPr="001433A9">
        <w:rPr>
          <w:noProof/>
        </w:rPr>
        <w:t>,</w:t>
      </w:r>
      <w:r w:rsidRPr="001433A9">
        <w:rPr>
          <w:i/>
          <w:noProof/>
        </w:rPr>
        <w:t xml:space="preserve"> 48</w:t>
      </w:r>
      <w:r w:rsidRPr="001433A9">
        <w:rPr>
          <w:noProof/>
        </w:rPr>
        <w:t xml:space="preserve">(4), 256-267. </w:t>
      </w:r>
      <w:hyperlink r:id="rId21" w:history="1">
        <w:r w:rsidRPr="001433A9">
          <w:rPr>
            <w:rStyle w:val="Hyperlink"/>
            <w:noProof/>
            <w:u w:val="none"/>
          </w:rPr>
          <w:t>https://doi.org/10.1177/0022466913489733</w:t>
        </w:r>
      </w:hyperlink>
      <w:r w:rsidRPr="001433A9">
        <w:rPr>
          <w:noProof/>
        </w:rPr>
        <w:t xml:space="preserve"> </w:t>
      </w:r>
    </w:p>
    <w:p w14:paraId="612DDB5F" w14:textId="2155866F" w:rsidR="00E06ED8" w:rsidRDefault="00AB1433" w:rsidP="00FD1F9C">
      <w:pPr>
        <w:pStyle w:val="EndNoteBibliography"/>
        <w:ind w:left="720"/>
        <w:rPr>
          <w:noProof/>
          <w:color w:val="000000" w:themeColor="text1"/>
        </w:rPr>
      </w:pPr>
      <w:r w:rsidRPr="001433A9">
        <w:rPr>
          <w:noProof/>
          <w:color w:val="000000" w:themeColor="text1"/>
        </w:rPr>
        <w:fldChar w:fldCharType="end"/>
      </w:r>
    </w:p>
    <w:p w14:paraId="6764DE74" w14:textId="77777777" w:rsidR="00416583" w:rsidRDefault="00416583" w:rsidP="00416583">
      <w:pPr>
        <w:jc w:val="center"/>
        <w:rPr>
          <w:b/>
          <w:bCs/>
        </w:rPr>
      </w:pPr>
      <w:r>
        <w:rPr>
          <w:b/>
          <w:bCs/>
        </w:rPr>
        <w:t>Appendix</w:t>
      </w:r>
    </w:p>
    <w:p w14:paraId="23B6EE0C" w14:textId="77777777" w:rsidR="00416583" w:rsidRDefault="00416583" w:rsidP="00416583">
      <w:pPr>
        <w:jc w:val="center"/>
        <w:rPr>
          <w:b/>
          <w:bCs/>
        </w:rPr>
      </w:pPr>
    </w:p>
    <w:p w14:paraId="3BD6F709" w14:textId="77777777" w:rsidR="00416583" w:rsidRDefault="00416583" w:rsidP="00416583">
      <w:pPr>
        <w:rPr>
          <w:b/>
          <w:bCs/>
          <w:u w:val="single"/>
        </w:rPr>
      </w:pPr>
      <w:r>
        <w:rPr>
          <w:b/>
          <w:bCs/>
          <w:u w:val="single"/>
        </w:rPr>
        <w:t>Search Strategies</w:t>
      </w:r>
    </w:p>
    <w:p w14:paraId="40CFE258" w14:textId="77777777" w:rsidR="00416583" w:rsidRPr="005D3DF7" w:rsidRDefault="00416583" w:rsidP="00416583">
      <w:pPr>
        <w:rPr>
          <w:b/>
          <w:bCs/>
          <w:u w:val="single"/>
        </w:rPr>
      </w:pPr>
    </w:p>
    <w:p w14:paraId="022B2E27" w14:textId="77777777" w:rsidR="00416583" w:rsidRPr="005D3DF7" w:rsidRDefault="00416583" w:rsidP="00416583">
      <w:pPr>
        <w:rPr>
          <w:u w:val="single"/>
        </w:rPr>
      </w:pPr>
      <w:r w:rsidRPr="005D3DF7">
        <w:rPr>
          <w:u w:val="single"/>
        </w:rPr>
        <w:t>ProQuest Linguistics and Language Behavior Abstracts (LLBA):</w:t>
      </w:r>
    </w:p>
    <w:p w14:paraId="4D963C06" w14:textId="77777777" w:rsidR="00416583" w:rsidRPr="00AD601A" w:rsidRDefault="00416583" w:rsidP="00416583"/>
    <w:p w14:paraId="17899251" w14:textId="77777777" w:rsidR="00416583" w:rsidRPr="00AD601A" w:rsidRDefault="00416583" w:rsidP="00416583">
      <w:pPr>
        <w:rPr>
          <w:color w:val="000000"/>
        </w:rPr>
      </w:pPr>
      <w:r w:rsidRPr="00AD601A">
        <w:rPr>
          <w:color w:val="000000"/>
        </w:rPr>
        <w:t>(MAINSUBJECT.EXPLODE("Preschool Children") OR MAINSUBJECT("Elementary School Students") OR MAINSUBJECT.EXPLODE("Junior High School Students") OR MAINSUBJECT.EXPLODE("High School Students") OR MAINSUBJECT.EXPLODE("College Students") OR MAINSUBJECT.EXPLODE("Adolescents") OR MAINSUBJECT("Secondary School Students") OR MAINSUBJECT("Young Adults") OR MAINSUBJECT("Children") OR ab(child*) OR ab(preschool* or pre-school*) OR ab(toddler*) OR ab("school child" OR "schoolchild") OR ab(youngster*) OR ab(</w:t>
      </w:r>
      <w:proofErr w:type="spellStart"/>
      <w:r w:rsidRPr="00AD601A">
        <w:rPr>
          <w:color w:val="000000"/>
        </w:rPr>
        <w:t>juvenil</w:t>
      </w:r>
      <w:proofErr w:type="spellEnd"/>
      <w:r w:rsidRPr="00AD601A">
        <w:rPr>
          <w:color w:val="000000"/>
        </w:rPr>
        <w:t>*) OR ab(kids*) OR (</w:t>
      </w:r>
      <w:proofErr w:type="spellStart"/>
      <w:r w:rsidRPr="00AD601A">
        <w:rPr>
          <w:color w:val="000000"/>
        </w:rPr>
        <w:t>noft</w:t>
      </w:r>
      <w:proofErr w:type="spellEnd"/>
      <w:r w:rsidRPr="00AD601A">
        <w:rPr>
          <w:color w:val="000000"/>
        </w:rPr>
        <w:t xml:space="preserve">(41or) AND ab(kindergarten)) OR </w:t>
      </w:r>
      <w:proofErr w:type="spellStart"/>
      <w:r w:rsidRPr="00AD601A">
        <w:rPr>
          <w:color w:val="000000"/>
        </w:rPr>
        <w:t>noft</w:t>
      </w:r>
      <w:proofErr w:type="spellEnd"/>
      <w:r w:rsidRPr="00AD601A">
        <w:rPr>
          <w:color w:val="000000"/>
        </w:rPr>
        <w:t>("" first grader* "" OR "" second grader* "" OR "" third grader* "" OR "" fourth grader* "" OR "" fifth grader* "" OR "" sixth grader* "" OR "" seventh grader* "" OR "" eighth grader* "") OR ab("middle school student*") OR ab("preteen*" or "</w:t>
      </w:r>
      <w:proofErr w:type="spellStart"/>
      <w:r w:rsidRPr="00AD601A">
        <w:rPr>
          <w:color w:val="000000"/>
        </w:rPr>
        <w:t>pre teen</w:t>
      </w:r>
      <w:proofErr w:type="spellEnd"/>
      <w:r w:rsidRPr="00AD601A">
        <w:rPr>
          <w:color w:val="000000"/>
        </w:rPr>
        <w:t xml:space="preserve">*") OR ab(teen*) OR ab(high school* student* or </w:t>
      </w:r>
      <w:proofErr w:type="spellStart"/>
      <w:r w:rsidRPr="00AD601A">
        <w:rPr>
          <w:color w:val="000000"/>
        </w:rPr>
        <w:t>highschool</w:t>
      </w:r>
      <w:proofErr w:type="spellEnd"/>
      <w:r w:rsidRPr="00AD601A">
        <w:rPr>
          <w:color w:val="000000"/>
        </w:rPr>
        <w:t xml:space="preserve">* student*) OR ab(adolescent* or adolescence*) OR ab("college student*" or "university student*") OR ab("young adult*") OR ab("young person*" or "young people*" or "young women*" or "young men*") OR ab("secondary school" OR "secondary schooling" OR "secondary schools")) AND (ab("receptive language") OR ab("expressive language") OR ab("receptive vocabulary") OR ab("expressive vocabulary") OR ab(grammatical abilities) OR </w:t>
      </w:r>
      <w:proofErr w:type="spellStart"/>
      <w:r w:rsidRPr="00AD601A">
        <w:rPr>
          <w:color w:val="000000"/>
        </w:rPr>
        <w:t>noft</w:t>
      </w:r>
      <w:proofErr w:type="spellEnd"/>
      <w:r w:rsidRPr="00AD601A">
        <w:rPr>
          <w:color w:val="000000"/>
        </w:rPr>
        <w:t xml:space="preserve">("language impairment") OR ab(grammatical judgement) OR </w:t>
      </w:r>
      <w:proofErr w:type="spellStart"/>
      <w:r w:rsidRPr="00AD601A">
        <w:rPr>
          <w:color w:val="000000"/>
        </w:rPr>
        <w:t>noft</w:t>
      </w:r>
      <w:proofErr w:type="spellEnd"/>
      <w:r w:rsidRPr="00AD601A">
        <w:rPr>
          <w:color w:val="000000"/>
        </w:rPr>
        <w:t xml:space="preserve">("morphosyntax") OR MAINSUBJECT.EXPLODE("Language Acquisition") OR ab("verbal behavior") OR MAINSUBJECT.EXPLODE("Language Pathology") OR ab("language development") OR MAINSUBJECT.EXPLODE("Nonverbal Communication") OR </w:t>
      </w:r>
      <w:proofErr w:type="spellStart"/>
      <w:r w:rsidRPr="00AD601A">
        <w:rPr>
          <w:color w:val="000000"/>
        </w:rPr>
        <w:t>noft</w:t>
      </w:r>
      <w:proofErr w:type="spellEnd"/>
      <w:r w:rsidRPr="00AD601A">
        <w:rPr>
          <w:color w:val="000000"/>
        </w:rPr>
        <w:t xml:space="preserve">("language tests") OR </w:t>
      </w:r>
      <w:proofErr w:type="spellStart"/>
      <w:r w:rsidRPr="00AD601A">
        <w:rPr>
          <w:color w:val="000000"/>
        </w:rPr>
        <w:t>noft</w:t>
      </w:r>
      <w:proofErr w:type="spellEnd"/>
      <w:r w:rsidRPr="00AD601A">
        <w:rPr>
          <w:color w:val="000000"/>
        </w:rPr>
        <w:t xml:space="preserve">("verbal language") OR ab("verbal communication")) AND (ab(ASD) OR MAINSUBJECT("Autism") OR </w:t>
      </w:r>
      <w:proofErr w:type="spellStart"/>
      <w:r w:rsidRPr="00AD601A">
        <w:rPr>
          <w:color w:val="000000"/>
        </w:rPr>
        <w:t>su</w:t>
      </w:r>
      <w:proofErr w:type="spellEnd"/>
      <w:r w:rsidRPr="00AD601A">
        <w:rPr>
          <w:color w:val="000000"/>
        </w:rPr>
        <w:t>(</w:t>
      </w:r>
      <w:proofErr w:type="spellStart"/>
      <w:r w:rsidRPr="00AD601A">
        <w:rPr>
          <w:color w:val="000000"/>
        </w:rPr>
        <w:t>autis</w:t>
      </w:r>
      <w:proofErr w:type="spellEnd"/>
      <w:r w:rsidRPr="00AD601A">
        <w:rPr>
          <w:color w:val="000000"/>
        </w:rPr>
        <w:t xml:space="preserve">*) OR </w:t>
      </w:r>
      <w:proofErr w:type="spellStart"/>
      <w:r w:rsidRPr="00AD601A">
        <w:rPr>
          <w:color w:val="000000"/>
        </w:rPr>
        <w:t>noft</w:t>
      </w:r>
      <w:proofErr w:type="spellEnd"/>
      <w:r w:rsidRPr="00AD601A">
        <w:rPr>
          <w:color w:val="000000"/>
        </w:rPr>
        <w:t>(Autism Spectrum Disorders))</w:t>
      </w:r>
    </w:p>
    <w:p w14:paraId="13BEF9A2" w14:textId="77777777" w:rsidR="00416583" w:rsidRPr="00AD601A" w:rsidRDefault="00416583" w:rsidP="00416583">
      <w:pPr>
        <w:rPr>
          <w:color w:val="000000"/>
        </w:rPr>
      </w:pPr>
    </w:p>
    <w:p w14:paraId="207B64EA" w14:textId="77777777" w:rsidR="00416583" w:rsidRPr="00AD601A" w:rsidRDefault="00416583" w:rsidP="00416583">
      <w:pPr>
        <w:rPr>
          <w:color w:val="000000"/>
        </w:rPr>
      </w:pPr>
    </w:p>
    <w:p w14:paraId="38DB2D2A" w14:textId="77777777" w:rsidR="00416583" w:rsidRPr="00AD601A" w:rsidRDefault="00416583" w:rsidP="00416583">
      <w:pPr>
        <w:rPr>
          <w:color w:val="000000"/>
        </w:rPr>
      </w:pPr>
      <w:r w:rsidRPr="00AD601A">
        <w:rPr>
          <w:color w:val="000000"/>
        </w:rPr>
        <w:t>ProQuest PsycINFO:</w:t>
      </w:r>
    </w:p>
    <w:p w14:paraId="4B607B06" w14:textId="77777777" w:rsidR="00416583" w:rsidRPr="00AD601A" w:rsidRDefault="00416583" w:rsidP="00416583">
      <w:pPr>
        <w:rPr>
          <w:color w:val="000000"/>
        </w:rPr>
      </w:pPr>
      <w:r w:rsidRPr="00AD601A">
        <w:rPr>
          <w:color w:val="000000"/>
        </w:rPr>
        <w:br/>
        <w:t xml:space="preserve">(ab("receptive language") OR ab("expressive language") OR ab("receptive vocabulary") OR ab("expressive vocabulary") OR ab(grammatical abilities) OR </w:t>
      </w:r>
      <w:proofErr w:type="spellStart"/>
      <w:r w:rsidRPr="00AD601A">
        <w:rPr>
          <w:color w:val="000000"/>
        </w:rPr>
        <w:t>noft</w:t>
      </w:r>
      <w:proofErr w:type="spellEnd"/>
      <w:r w:rsidRPr="00AD601A">
        <w:rPr>
          <w:color w:val="000000"/>
        </w:rPr>
        <w:t xml:space="preserve">("language impairment") OR ab(grammatical judgement) OR </w:t>
      </w:r>
      <w:proofErr w:type="spellStart"/>
      <w:r w:rsidRPr="00AD601A">
        <w:rPr>
          <w:color w:val="000000"/>
        </w:rPr>
        <w:t>noft</w:t>
      </w:r>
      <w:proofErr w:type="spellEnd"/>
      <w:r w:rsidRPr="00AD601A">
        <w:rPr>
          <w:color w:val="000000"/>
        </w:rPr>
        <w:t xml:space="preserve">("morphosyntax") OR MAINSUBJECT.EXACT("Language Development") OR ab("verbal behavior") OR MAINSUBJECT.EXACT("Language Disorders") OR ab("language development") OR MAINSUBJECT.EXACT("Nonverbal Communication") OR </w:t>
      </w:r>
      <w:proofErr w:type="spellStart"/>
      <w:r w:rsidRPr="00AD601A">
        <w:rPr>
          <w:color w:val="000000"/>
        </w:rPr>
        <w:t>noft</w:t>
      </w:r>
      <w:proofErr w:type="spellEnd"/>
      <w:r w:rsidRPr="00AD601A">
        <w:rPr>
          <w:color w:val="000000"/>
        </w:rPr>
        <w:t xml:space="preserve">("language test*") OR </w:t>
      </w:r>
      <w:proofErr w:type="spellStart"/>
      <w:r w:rsidRPr="00AD601A">
        <w:rPr>
          <w:color w:val="000000"/>
        </w:rPr>
        <w:t>noft</w:t>
      </w:r>
      <w:proofErr w:type="spellEnd"/>
      <w:r w:rsidRPr="00AD601A">
        <w:rPr>
          <w:color w:val="000000"/>
        </w:rPr>
        <w:t>("verbal language") OR MJMAINSUBJECT.EXACT("Verbal Communication")) AND (ab(</w:t>
      </w:r>
      <w:proofErr w:type="spellStart"/>
      <w:r w:rsidRPr="00AD601A">
        <w:rPr>
          <w:color w:val="000000"/>
        </w:rPr>
        <w:t>asd</w:t>
      </w:r>
      <w:proofErr w:type="spellEnd"/>
      <w:r w:rsidRPr="00AD601A">
        <w:rPr>
          <w:color w:val="000000"/>
        </w:rPr>
        <w:t xml:space="preserve">) OR </w:t>
      </w:r>
      <w:proofErr w:type="spellStart"/>
      <w:r w:rsidRPr="00AD601A">
        <w:rPr>
          <w:color w:val="000000"/>
        </w:rPr>
        <w:t>su</w:t>
      </w:r>
      <w:proofErr w:type="spellEnd"/>
      <w:r w:rsidRPr="00AD601A">
        <w:rPr>
          <w:color w:val="000000"/>
        </w:rPr>
        <w:t>(</w:t>
      </w:r>
      <w:proofErr w:type="spellStart"/>
      <w:r w:rsidRPr="00AD601A">
        <w:rPr>
          <w:color w:val="000000"/>
        </w:rPr>
        <w:t>autis</w:t>
      </w:r>
      <w:proofErr w:type="spellEnd"/>
      <w:r w:rsidRPr="00AD601A">
        <w:rPr>
          <w:color w:val="000000"/>
        </w:rPr>
        <w:t xml:space="preserve">*) OR </w:t>
      </w:r>
      <w:proofErr w:type="spellStart"/>
      <w:r w:rsidRPr="00AD601A">
        <w:rPr>
          <w:color w:val="000000"/>
        </w:rPr>
        <w:t>noft</w:t>
      </w:r>
      <w:proofErr w:type="spellEnd"/>
      <w:r w:rsidRPr="00AD601A">
        <w:rPr>
          <w:color w:val="000000"/>
        </w:rPr>
        <w:t xml:space="preserve">(Autism Spectrum Disorders)) AND (ab(child*) OR ab(preschool* or pre-school*) OR ab(school-age* or school age*) OR </w:t>
      </w:r>
      <w:r w:rsidRPr="00AD601A">
        <w:rPr>
          <w:color w:val="000000"/>
        </w:rPr>
        <w:lastRenderedPageBreak/>
        <w:t>ab(toddler*) OR ab("school child*" or "schoolchild*") OR ab(youngster*) OR ab(</w:t>
      </w:r>
      <w:proofErr w:type="spellStart"/>
      <w:r w:rsidRPr="00AD601A">
        <w:rPr>
          <w:color w:val="000000"/>
        </w:rPr>
        <w:t>juvenil</w:t>
      </w:r>
      <w:proofErr w:type="spellEnd"/>
      <w:r w:rsidRPr="00AD601A">
        <w:rPr>
          <w:color w:val="000000"/>
        </w:rPr>
        <w:t xml:space="preserve">*) OR ab(kids*) OR ab(youth*) OR (ab(kindergarten*) AND </w:t>
      </w:r>
      <w:proofErr w:type="spellStart"/>
      <w:r w:rsidRPr="00AD601A">
        <w:rPr>
          <w:color w:val="000000"/>
        </w:rPr>
        <w:t>noft</w:t>
      </w:r>
      <w:proofErr w:type="spellEnd"/>
      <w:r w:rsidRPr="00AD601A">
        <w:rPr>
          <w:color w:val="000000"/>
        </w:rPr>
        <w:t>("" first grader* "" OR "" second grader* "" OR "" third grader* "" OR "" fourth grader* "" OR "" fifth grader* "" OR "" sixth grader* "" OR "" seventh grader* "" OR "" eighth grader* "")) OR ab("middle school student*") OR ab("preteen*" or "</w:t>
      </w:r>
      <w:proofErr w:type="spellStart"/>
      <w:r w:rsidRPr="00AD601A">
        <w:rPr>
          <w:color w:val="000000"/>
        </w:rPr>
        <w:t>pre teen</w:t>
      </w:r>
      <w:proofErr w:type="spellEnd"/>
      <w:r w:rsidRPr="00AD601A">
        <w:rPr>
          <w:color w:val="000000"/>
        </w:rPr>
        <w:t xml:space="preserve">*") OR ab(teen*) OR ab(high school* student* or </w:t>
      </w:r>
      <w:proofErr w:type="spellStart"/>
      <w:r w:rsidRPr="00AD601A">
        <w:rPr>
          <w:color w:val="000000"/>
        </w:rPr>
        <w:t>highschool</w:t>
      </w:r>
      <w:proofErr w:type="spellEnd"/>
      <w:r w:rsidRPr="00AD601A">
        <w:rPr>
          <w:color w:val="000000"/>
        </w:rPr>
        <w:t xml:space="preserve">* student*) OR ab(adolescent* or adolescence*) OR ab(college student* or university student*) OR ab(young person* or young people* or young women* or young men*) OR ab(("secondary school" OR "secondary schooling" OR "secondary schools")) OR </w:t>
      </w:r>
      <w:proofErr w:type="spellStart"/>
      <w:r w:rsidRPr="00AD601A">
        <w:rPr>
          <w:color w:val="000000"/>
        </w:rPr>
        <w:t>su</w:t>
      </w:r>
      <w:proofErr w:type="spellEnd"/>
      <w:r w:rsidRPr="00AD601A">
        <w:rPr>
          <w:color w:val="000000"/>
        </w:rPr>
        <w:t xml:space="preserve">(child*) OR </w:t>
      </w:r>
      <w:proofErr w:type="spellStart"/>
      <w:r w:rsidRPr="00AD601A">
        <w:rPr>
          <w:color w:val="000000"/>
        </w:rPr>
        <w:t>su</w:t>
      </w:r>
      <w:proofErr w:type="spellEnd"/>
      <w:r w:rsidRPr="00AD601A">
        <w:rPr>
          <w:color w:val="000000"/>
        </w:rPr>
        <w:t xml:space="preserve">(young adult*) OR </w:t>
      </w:r>
      <w:proofErr w:type="spellStart"/>
      <w:r w:rsidRPr="00AD601A">
        <w:rPr>
          <w:color w:val="000000"/>
        </w:rPr>
        <w:t>su</w:t>
      </w:r>
      <w:proofErr w:type="spellEnd"/>
      <w:r w:rsidRPr="00AD601A">
        <w:rPr>
          <w:color w:val="000000"/>
        </w:rPr>
        <w:t xml:space="preserve">("preschool") OR </w:t>
      </w:r>
      <w:proofErr w:type="spellStart"/>
      <w:r w:rsidRPr="00AD601A">
        <w:rPr>
          <w:color w:val="000000"/>
        </w:rPr>
        <w:t>su</w:t>
      </w:r>
      <w:proofErr w:type="spellEnd"/>
      <w:r w:rsidRPr="00AD601A">
        <w:rPr>
          <w:color w:val="000000"/>
        </w:rPr>
        <w:t>(adolescent) OR ab(("primary school" OR "primary schooling" OR "primary schools")))</w:t>
      </w:r>
    </w:p>
    <w:p w14:paraId="4F5C7C0E" w14:textId="77777777" w:rsidR="00416583" w:rsidRPr="00AD601A" w:rsidRDefault="00416583" w:rsidP="00416583">
      <w:pPr>
        <w:rPr>
          <w:color w:val="000000"/>
        </w:rPr>
      </w:pPr>
    </w:p>
    <w:p w14:paraId="2A100DFD" w14:textId="77777777" w:rsidR="00416583" w:rsidRPr="00AD601A" w:rsidRDefault="00416583" w:rsidP="00416583"/>
    <w:p w14:paraId="44F561C6" w14:textId="77777777" w:rsidR="00416583" w:rsidRDefault="00416583" w:rsidP="00416583">
      <w:pPr>
        <w:rPr>
          <w:u w:val="single"/>
        </w:rPr>
      </w:pPr>
      <w:r w:rsidRPr="005D3DF7">
        <w:rPr>
          <w:u w:val="single"/>
        </w:rPr>
        <w:t>PubMed:</w:t>
      </w:r>
    </w:p>
    <w:p w14:paraId="14B4D1FB" w14:textId="77777777" w:rsidR="00416583" w:rsidRPr="005D3DF7" w:rsidRDefault="00416583" w:rsidP="00416583">
      <w:pPr>
        <w:rPr>
          <w:u w:val="single"/>
        </w:rPr>
      </w:pPr>
    </w:p>
    <w:p w14:paraId="77E856FB" w14:textId="77777777" w:rsidR="00416583" w:rsidRPr="00AD601A" w:rsidRDefault="00416583" w:rsidP="00416583">
      <w:pPr>
        <w:rPr>
          <w:color w:val="000000"/>
        </w:rPr>
      </w:pPr>
      <w:r w:rsidRPr="00AD601A">
        <w:rPr>
          <w:color w:val="000000"/>
        </w:rPr>
        <w:t>Search: ((((ASD[Title/Abstract]) OR (("autism spectrum disorder"[</w:t>
      </w:r>
      <w:proofErr w:type="spellStart"/>
      <w:r w:rsidRPr="00AD601A">
        <w:rPr>
          <w:color w:val="000000"/>
        </w:rPr>
        <w:t>MeSH</w:t>
      </w:r>
      <w:proofErr w:type="spellEnd"/>
      <w:r w:rsidRPr="00AD601A">
        <w:rPr>
          <w:color w:val="000000"/>
        </w:rPr>
        <w:t xml:space="preserve"> Terms] OR ("autism"[All Fields] AND "spectrum"[All Fields] AND "disorder"[All Fields]) OR "autism spectrum disorder"[All Fields]))) OR (</w:t>
      </w:r>
      <w:proofErr w:type="spellStart"/>
      <w:r w:rsidRPr="00AD601A">
        <w:rPr>
          <w:color w:val="000000"/>
        </w:rPr>
        <w:t>autis</w:t>
      </w:r>
      <w:proofErr w:type="spellEnd"/>
      <w:r w:rsidRPr="00AD601A">
        <w:rPr>
          <w:color w:val="000000"/>
        </w:rPr>
        <w:t>* [text word])) AND ((((((((((((((((("receptive language"[Text Word]) OR (expressive language [text word])) OR (receptive vocabulary[Text Word])) OR (expressive vocabulary [text word])) OR (grammatical abilities)) OR ("language impairment"[All Fields])) OR (</w:t>
      </w:r>
      <w:proofErr w:type="spellStart"/>
      <w:r w:rsidRPr="00AD601A">
        <w:rPr>
          <w:color w:val="000000"/>
        </w:rPr>
        <w:t>grammat</w:t>
      </w:r>
      <w:proofErr w:type="spellEnd"/>
      <w:r w:rsidRPr="00AD601A">
        <w:rPr>
          <w:color w:val="000000"/>
        </w:rPr>
        <w:t xml:space="preserve">* </w:t>
      </w:r>
      <w:proofErr w:type="spellStart"/>
      <w:r w:rsidRPr="00AD601A">
        <w:rPr>
          <w:color w:val="000000"/>
        </w:rPr>
        <w:t>judg</w:t>
      </w:r>
      <w:proofErr w:type="spellEnd"/>
      <w:r w:rsidRPr="00AD601A">
        <w:rPr>
          <w:color w:val="000000"/>
        </w:rPr>
        <w:t>*)) OR ("morphosyntax"[All Fields])) OR ("language development"[Title/Abstract])) OR (</w:t>
      </w:r>
      <w:proofErr w:type="spellStart"/>
      <w:r w:rsidRPr="00AD601A">
        <w:rPr>
          <w:color w:val="000000"/>
        </w:rPr>
        <w:t>developmen</w:t>
      </w:r>
      <w:proofErr w:type="spellEnd"/>
      <w:r w:rsidRPr="00AD601A">
        <w:rPr>
          <w:color w:val="000000"/>
        </w:rPr>
        <w:t>* language disorder [text word])) OR ("Language Development Disorders"[</w:t>
      </w:r>
      <w:proofErr w:type="spellStart"/>
      <w:r w:rsidRPr="00AD601A">
        <w:rPr>
          <w:color w:val="000000"/>
        </w:rPr>
        <w:t>Majr:NoExp</w:t>
      </w:r>
      <w:proofErr w:type="spellEnd"/>
      <w:r w:rsidRPr="00AD601A">
        <w:rPr>
          <w:color w:val="000000"/>
        </w:rPr>
        <w:t>])) OR ("Language Development"[Text Word])) OR ("Nonverbal communication"[All Fields])) OR ("Verbal Behavior"[All Fields])) OR ("Language Tests"[text word])) OR ("Language Disorders"[</w:t>
      </w:r>
      <w:proofErr w:type="spellStart"/>
      <w:r w:rsidRPr="00AD601A">
        <w:rPr>
          <w:color w:val="000000"/>
        </w:rPr>
        <w:t>MeSH</w:t>
      </w:r>
      <w:proofErr w:type="spellEnd"/>
      <w:r w:rsidRPr="00AD601A">
        <w:rPr>
          <w:color w:val="000000"/>
        </w:rPr>
        <w:t xml:space="preserve"> Terms])) OR ("verbal language" [text word]))) AND (((((((((((((((((((((((((("college student*"[Title/Abstract]) OR ("university student*"[Title/Abstract])) (Child, Preschool[Mesh])) OR ("Child"[Mesh])) OR ("child*"[TIAB])) OR (preschool*[TIAB])) OR ("school-age"[Title/Abstract] OR "school age"[Title/Abstract])) OR ("kids"[TIAB])) OR ("schoolchild*"[TIAB] or "school child" [TIAB])) OR ("youth*"[TIAB])) OR ("kindergarten*"[TIAB])) OR ("</w:t>
      </w:r>
      <w:proofErr w:type="spellStart"/>
      <w:r w:rsidRPr="00AD601A">
        <w:rPr>
          <w:color w:val="000000"/>
        </w:rPr>
        <w:t>juvenil</w:t>
      </w:r>
      <w:proofErr w:type="spellEnd"/>
      <w:r w:rsidRPr="00AD601A">
        <w:rPr>
          <w:color w:val="000000"/>
        </w:rPr>
        <w:t xml:space="preserve">*"[TIAB])) OR ("youngster*"[TIAB])) OR ("first grader*"[TIAB] or "second grader*"[TIAB] or "third grader*"[TIAB] or "fourth grader*"[TIAB] or "fifth grader*"[TIAB] or "sixth grader*"[TIAB] or "seventh grader*"[TIAB] or "eighth grader*"[TIAB])) OR ("middle school student*"[TIAB])) OR ("pre </w:t>
      </w:r>
      <w:proofErr w:type="spellStart"/>
      <w:r w:rsidRPr="00AD601A">
        <w:rPr>
          <w:color w:val="000000"/>
        </w:rPr>
        <w:t>adolescen</w:t>
      </w:r>
      <w:proofErr w:type="spellEnd"/>
      <w:r w:rsidRPr="00AD601A">
        <w:rPr>
          <w:color w:val="000000"/>
        </w:rPr>
        <w:t>*"[TIAB] or "pre-</w:t>
      </w:r>
      <w:proofErr w:type="spellStart"/>
      <w:r w:rsidRPr="00AD601A">
        <w:rPr>
          <w:color w:val="000000"/>
        </w:rPr>
        <w:t>adolescen</w:t>
      </w:r>
      <w:proofErr w:type="spellEnd"/>
      <w:r w:rsidRPr="00AD601A">
        <w:rPr>
          <w:color w:val="000000"/>
        </w:rPr>
        <w:t>*"[TIAB])) OR ("preteen*"[TIAB] or "</w:t>
      </w:r>
      <w:proofErr w:type="spellStart"/>
      <w:r w:rsidRPr="00AD601A">
        <w:rPr>
          <w:color w:val="000000"/>
        </w:rPr>
        <w:t>pre teen</w:t>
      </w:r>
      <w:proofErr w:type="spellEnd"/>
      <w:r w:rsidRPr="00AD601A">
        <w:rPr>
          <w:color w:val="000000"/>
        </w:rPr>
        <w:t>*"[TIAB])) OR ("</w:t>
      </w:r>
      <w:proofErr w:type="spellStart"/>
      <w:r w:rsidRPr="00AD601A">
        <w:rPr>
          <w:color w:val="000000"/>
        </w:rPr>
        <w:t>preadolescen</w:t>
      </w:r>
      <w:proofErr w:type="spellEnd"/>
      <w:r w:rsidRPr="00AD601A">
        <w:rPr>
          <w:color w:val="000000"/>
        </w:rPr>
        <w:t xml:space="preserve">*"[Title/Abstract] OR "pre </w:t>
      </w:r>
      <w:proofErr w:type="spellStart"/>
      <w:r w:rsidRPr="00AD601A">
        <w:rPr>
          <w:color w:val="000000"/>
        </w:rPr>
        <w:t>adolescen</w:t>
      </w:r>
      <w:proofErr w:type="spellEnd"/>
      <w:r w:rsidRPr="00AD601A">
        <w:rPr>
          <w:color w:val="000000"/>
        </w:rPr>
        <w:t>*"[All Fields])) OR (secondary school*[TIAB])) OR ((</w:t>
      </w:r>
      <w:proofErr w:type="spellStart"/>
      <w:r w:rsidRPr="00AD601A">
        <w:rPr>
          <w:color w:val="000000"/>
        </w:rPr>
        <w:t>highschool</w:t>
      </w:r>
      <w:proofErr w:type="spellEnd"/>
      <w:r w:rsidRPr="00AD601A">
        <w:rPr>
          <w:color w:val="000000"/>
        </w:rPr>
        <w:t>* or high school* [TIAB]))) OR (adolescent[</w:t>
      </w:r>
      <w:proofErr w:type="spellStart"/>
      <w:r w:rsidRPr="00AD601A">
        <w:rPr>
          <w:color w:val="000000"/>
        </w:rPr>
        <w:t>MeSH</w:t>
      </w:r>
      <w:proofErr w:type="spellEnd"/>
      <w:r w:rsidRPr="00AD601A">
        <w:rPr>
          <w:color w:val="000000"/>
        </w:rPr>
        <w:t xml:space="preserve"> Terms])) OR ("adolescent*"[TIAB] or adolescence* [TIAB])) OR ("teen*"[TIAB])) OR ("Young Adult"[Mesh])) OR ("young person*"[Title/Abstract] OR "young people*"[Title/Abstract] OR "young man"[Title/Abstract] OR "young woman"[Title/Abstract] OR "young men"[Title/Abstract] OR "young women"[Title/Abstract])) OR (("college student*"[Title/Abstract]) OR ("university student*"[Title/Abstract]))) </w:t>
      </w:r>
    </w:p>
    <w:p w14:paraId="275DE25B" w14:textId="77777777" w:rsidR="00416583" w:rsidRPr="005D3DF7" w:rsidRDefault="00416583" w:rsidP="00416583">
      <w:pPr>
        <w:rPr>
          <w:color w:val="000000"/>
          <w:u w:val="single"/>
        </w:rPr>
      </w:pPr>
      <w:r w:rsidRPr="00AD601A">
        <w:rPr>
          <w:color w:val="000000"/>
        </w:rPr>
        <w:br/>
      </w:r>
      <w:r w:rsidRPr="005D3DF7">
        <w:rPr>
          <w:color w:val="000000"/>
          <w:u w:val="single"/>
        </w:rPr>
        <w:t xml:space="preserve">Directory of Open Access Journals (DOAJ): </w:t>
      </w:r>
      <w:r w:rsidRPr="005D3DF7">
        <w:rPr>
          <w:color w:val="000000"/>
          <w:u w:val="single"/>
        </w:rPr>
        <w:br/>
      </w:r>
    </w:p>
    <w:tbl>
      <w:tblPr>
        <w:tblW w:w="6860" w:type="dxa"/>
        <w:tblLook w:val="04A0" w:firstRow="1" w:lastRow="0" w:firstColumn="1" w:lastColumn="0" w:noHBand="0" w:noVBand="1"/>
      </w:tblPr>
      <w:tblGrid>
        <w:gridCol w:w="3600"/>
        <w:gridCol w:w="3260"/>
      </w:tblGrid>
      <w:tr w:rsidR="00416583" w:rsidRPr="00AD601A" w14:paraId="17B9FF65" w14:textId="77777777" w:rsidTr="00494032">
        <w:trPr>
          <w:trHeight w:val="300"/>
        </w:trPr>
        <w:tc>
          <w:tcPr>
            <w:tcW w:w="3600" w:type="dxa"/>
            <w:tcBorders>
              <w:top w:val="nil"/>
              <w:left w:val="nil"/>
              <w:bottom w:val="nil"/>
              <w:right w:val="nil"/>
            </w:tcBorders>
            <w:shd w:val="clear" w:color="auto" w:fill="auto"/>
            <w:noWrap/>
            <w:vAlign w:val="bottom"/>
            <w:hideMark/>
          </w:tcPr>
          <w:p w14:paraId="57C18A9C" w14:textId="77777777" w:rsidR="00416583" w:rsidRPr="00AD601A" w:rsidRDefault="00416583" w:rsidP="00494032">
            <w:pPr>
              <w:rPr>
                <w:color w:val="000000"/>
              </w:rPr>
            </w:pPr>
            <w:r w:rsidRPr="00AD601A">
              <w:rPr>
                <w:color w:val="000000"/>
              </w:rPr>
              <w:t>autism and "receptive language"</w:t>
            </w:r>
          </w:p>
        </w:tc>
        <w:tc>
          <w:tcPr>
            <w:tcW w:w="3260" w:type="dxa"/>
            <w:tcBorders>
              <w:top w:val="nil"/>
              <w:left w:val="nil"/>
              <w:bottom w:val="nil"/>
              <w:right w:val="nil"/>
            </w:tcBorders>
            <w:shd w:val="clear" w:color="auto" w:fill="auto"/>
            <w:noWrap/>
            <w:vAlign w:val="bottom"/>
            <w:hideMark/>
          </w:tcPr>
          <w:p w14:paraId="36EF5C70" w14:textId="77777777" w:rsidR="00416583" w:rsidRPr="00AD601A" w:rsidRDefault="00416583" w:rsidP="00494032">
            <w:pPr>
              <w:rPr>
                <w:color w:val="000000"/>
              </w:rPr>
            </w:pPr>
            <w:r w:rsidRPr="00AD601A">
              <w:rPr>
                <w:color w:val="000000"/>
              </w:rPr>
              <w:t>social science; no SR</w:t>
            </w:r>
          </w:p>
        </w:tc>
      </w:tr>
      <w:tr w:rsidR="00416583" w:rsidRPr="00AD601A" w14:paraId="5B36B347" w14:textId="77777777" w:rsidTr="00494032">
        <w:trPr>
          <w:trHeight w:val="300"/>
        </w:trPr>
        <w:tc>
          <w:tcPr>
            <w:tcW w:w="3600" w:type="dxa"/>
            <w:tcBorders>
              <w:top w:val="nil"/>
              <w:left w:val="nil"/>
              <w:bottom w:val="nil"/>
              <w:right w:val="nil"/>
            </w:tcBorders>
            <w:shd w:val="clear" w:color="auto" w:fill="auto"/>
            <w:noWrap/>
            <w:vAlign w:val="bottom"/>
            <w:hideMark/>
          </w:tcPr>
          <w:p w14:paraId="55877CD6" w14:textId="77777777" w:rsidR="00416583" w:rsidRPr="00AD601A" w:rsidRDefault="00416583" w:rsidP="00494032">
            <w:pPr>
              <w:rPr>
                <w:color w:val="000000"/>
              </w:rPr>
            </w:pPr>
            <w:r w:rsidRPr="00AD601A">
              <w:rPr>
                <w:color w:val="000000"/>
              </w:rPr>
              <w:t>autism and "expressive language"</w:t>
            </w:r>
          </w:p>
        </w:tc>
        <w:tc>
          <w:tcPr>
            <w:tcW w:w="3260" w:type="dxa"/>
            <w:tcBorders>
              <w:top w:val="nil"/>
              <w:left w:val="nil"/>
              <w:bottom w:val="nil"/>
              <w:right w:val="nil"/>
            </w:tcBorders>
            <w:shd w:val="clear" w:color="auto" w:fill="auto"/>
            <w:noWrap/>
            <w:vAlign w:val="bottom"/>
            <w:hideMark/>
          </w:tcPr>
          <w:p w14:paraId="49CD11F5" w14:textId="77777777" w:rsidR="00416583" w:rsidRPr="00AD601A" w:rsidRDefault="00416583" w:rsidP="00494032">
            <w:pPr>
              <w:rPr>
                <w:color w:val="000000"/>
              </w:rPr>
            </w:pPr>
            <w:r w:rsidRPr="00AD601A">
              <w:rPr>
                <w:color w:val="000000"/>
              </w:rPr>
              <w:t>social science; no SR</w:t>
            </w:r>
          </w:p>
        </w:tc>
      </w:tr>
      <w:tr w:rsidR="00416583" w:rsidRPr="00AD601A" w14:paraId="2A8F843B" w14:textId="77777777" w:rsidTr="00494032">
        <w:trPr>
          <w:trHeight w:val="300"/>
        </w:trPr>
        <w:tc>
          <w:tcPr>
            <w:tcW w:w="3600" w:type="dxa"/>
            <w:tcBorders>
              <w:top w:val="nil"/>
              <w:left w:val="nil"/>
              <w:bottom w:val="nil"/>
              <w:right w:val="nil"/>
            </w:tcBorders>
            <w:shd w:val="clear" w:color="auto" w:fill="auto"/>
            <w:noWrap/>
            <w:vAlign w:val="bottom"/>
            <w:hideMark/>
          </w:tcPr>
          <w:p w14:paraId="5C888B60" w14:textId="77777777" w:rsidR="00416583" w:rsidRPr="00AD601A" w:rsidRDefault="00416583" w:rsidP="00494032">
            <w:pPr>
              <w:rPr>
                <w:color w:val="000000"/>
              </w:rPr>
            </w:pPr>
            <w:r w:rsidRPr="00AD601A">
              <w:rPr>
                <w:color w:val="000000"/>
              </w:rPr>
              <w:t>autism and "receptive vocabulary"</w:t>
            </w:r>
          </w:p>
        </w:tc>
        <w:tc>
          <w:tcPr>
            <w:tcW w:w="3260" w:type="dxa"/>
            <w:tcBorders>
              <w:top w:val="nil"/>
              <w:left w:val="nil"/>
              <w:bottom w:val="nil"/>
              <w:right w:val="nil"/>
            </w:tcBorders>
            <w:shd w:val="clear" w:color="auto" w:fill="auto"/>
            <w:noWrap/>
            <w:vAlign w:val="bottom"/>
            <w:hideMark/>
          </w:tcPr>
          <w:p w14:paraId="7D57C0E1" w14:textId="77777777" w:rsidR="00416583" w:rsidRPr="00AD601A" w:rsidRDefault="00416583" w:rsidP="00494032">
            <w:pPr>
              <w:rPr>
                <w:color w:val="000000"/>
              </w:rPr>
            </w:pPr>
            <w:r w:rsidRPr="00AD601A">
              <w:rPr>
                <w:color w:val="000000"/>
              </w:rPr>
              <w:t>social science; no SR</w:t>
            </w:r>
          </w:p>
        </w:tc>
      </w:tr>
      <w:tr w:rsidR="00416583" w:rsidRPr="00AD601A" w14:paraId="737BA673" w14:textId="77777777" w:rsidTr="00494032">
        <w:trPr>
          <w:trHeight w:val="300"/>
        </w:trPr>
        <w:tc>
          <w:tcPr>
            <w:tcW w:w="3600" w:type="dxa"/>
            <w:tcBorders>
              <w:top w:val="nil"/>
              <w:left w:val="nil"/>
              <w:bottom w:val="nil"/>
              <w:right w:val="nil"/>
            </w:tcBorders>
            <w:shd w:val="clear" w:color="auto" w:fill="auto"/>
            <w:noWrap/>
            <w:vAlign w:val="bottom"/>
            <w:hideMark/>
          </w:tcPr>
          <w:p w14:paraId="5ED09516" w14:textId="77777777" w:rsidR="00416583" w:rsidRPr="00AD601A" w:rsidRDefault="00416583" w:rsidP="00494032">
            <w:pPr>
              <w:rPr>
                <w:color w:val="000000"/>
              </w:rPr>
            </w:pPr>
            <w:r w:rsidRPr="00AD601A">
              <w:rPr>
                <w:color w:val="000000"/>
              </w:rPr>
              <w:lastRenderedPageBreak/>
              <w:t>autism and "expressive vocabulary"</w:t>
            </w:r>
          </w:p>
        </w:tc>
        <w:tc>
          <w:tcPr>
            <w:tcW w:w="3260" w:type="dxa"/>
            <w:tcBorders>
              <w:top w:val="nil"/>
              <w:left w:val="nil"/>
              <w:bottom w:val="nil"/>
              <w:right w:val="nil"/>
            </w:tcBorders>
            <w:shd w:val="clear" w:color="auto" w:fill="auto"/>
            <w:noWrap/>
            <w:vAlign w:val="bottom"/>
            <w:hideMark/>
          </w:tcPr>
          <w:p w14:paraId="02F45C0A" w14:textId="77777777" w:rsidR="00416583" w:rsidRPr="00AD601A" w:rsidRDefault="00416583" w:rsidP="00494032">
            <w:pPr>
              <w:rPr>
                <w:color w:val="000000"/>
              </w:rPr>
            </w:pPr>
            <w:r w:rsidRPr="00AD601A">
              <w:rPr>
                <w:color w:val="000000"/>
              </w:rPr>
              <w:t>social science; no SR</w:t>
            </w:r>
          </w:p>
        </w:tc>
      </w:tr>
      <w:tr w:rsidR="00416583" w:rsidRPr="00AD601A" w14:paraId="66A5432F" w14:textId="77777777" w:rsidTr="00494032">
        <w:trPr>
          <w:trHeight w:val="300"/>
        </w:trPr>
        <w:tc>
          <w:tcPr>
            <w:tcW w:w="3600" w:type="dxa"/>
            <w:tcBorders>
              <w:top w:val="nil"/>
              <w:left w:val="nil"/>
              <w:bottom w:val="nil"/>
              <w:right w:val="nil"/>
            </w:tcBorders>
            <w:shd w:val="clear" w:color="auto" w:fill="auto"/>
            <w:noWrap/>
            <w:vAlign w:val="bottom"/>
            <w:hideMark/>
          </w:tcPr>
          <w:p w14:paraId="69AD7A2B" w14:textId="77777777" w:rsidR="00416583" w:rsidRPr="00AD601A" w:rsidRDefault="00416583" w:rsidP="00494032">
            <w:pPr>
              <w:rPr>
                <w:color w:val="000000"/>
              </w:rPr>
            </w:pPr>
            <w:r w:rsidRPr="00AD601A">
              <w:rPr>
                <w:color w:val="000000"/>
              </w:rPr>
              <w:t>autism and "grammatical abilities"</w:t>
            </w:r>
          </w:p>
        </w:tc>
        <w:tc>
          <w:tcPr>
            <w:tcW w:w="3260" w:type="dxa"/>
            <w:tcBorders>
              <w:top w:val="nil"/>
              <w:left w:val="nil"/>
              <w:bottom w:val="nil"/>
              <w:right w:val="nil"/>
            </w:tcBorders>
            <w:shd w:val="clear" w:color="auto" w:fill="auto"/>
            <w:noWrap/>
            <w:vAlign w:val="bottom"/>
            <w:hideMark/>
          </w:tcPr>
          <w:p w14:paraId="3F34C639" w14:textId="77777777" w:rsidR="00416583" w:rsidRPr="00AD601A" w:rsidRDefault="00416583" w:rsidP="00494032">
            <w:pPr>
              <w:rPr>
                <w:color w:val="000000"/>
              </w:rPr>
            </w:pPr>
            <w:r w:rsidRPr="00AD601A">
              <w:rPr>
                <w:color w:val="000000"/>
              </w:rPr>
              <w:t>social science; no SR</w:t>
            </w:r>
          </w:p>
        </w:tc>
      </w:tr>
      <w:tr w:rsidR="00416583" w:rsidRPr="00AD601A" w14:paraId="752CFEC4" w14:textId="77777777" w:rsidTr="00494032">
        <w:trPr>
          <w:trHeight w:val="300"/>
        </w:trPr>
        <w:tc>
          <w:tcPr>
            <w:tcW w:w="3600" w:type="dxa"/>
            <w:tcBorders>
              <w:top w:val="nil"/>
              <w:left w:val="nil"/>
              <w:bottom w:val="nil"/>
              <w:right w:val="nil"/>
            </w:tcBorders>
            <w:shd w:val="clear" w:color="auto" w:fill="auto"/>
            <w:noWrap/>
            <w:vAlign w:val="bottom"/>
            <w:hideMark/>
          </w:tcPr>
          <w:p w14:paraId="6D0F510A" w14:textId="77777777" w:rsidR="00416583" w:rsidRPr="00AD601A" w:rsidRDefault="00416583" w:rsidP="00494032">
            <w:pPr>
              <w:rPr>
                <w:color w:val="000000"/>
              </w:rPr>
            </w:pPr>
            <w:r w:rsidRPr="00AD601A">
              <w:rPr>
                <w:color w:val="000000"/>
              </w:rPr>
              <w:t>autism and "language impairment"</w:t>
            </w:r>
          </w:p>
        </w:tc>
        <w:tc>
          <w:tcPr>
            <w:tcW w:w="3260" w:type="dxa"/>
            <w:tcBorders>
              <w:top w:val="nil"/>
              <w:left w:val="nil"/>
              <w:bottom w:val="nil"/>
              <w:right w:val="nil"/>
            </w:tcBorders>
            <w:shd w:val="clear" w:color="auto" w:fill="auto"/>
            <w:noWrap/>
            <w:vAlign w:val="bottom"/>
            <w:hideMark/>
          </w:tcPr>
          <w:p w14:paraId="7FA4ED35" w14:textId="77777777" w:rsidR="00416583" w:rsidRPr="00AD601A" w:rsidRDefault="00416583" w:rsidP="00494032">
            <w:pPr>
              <w:rPr>
                <w:color w:val="000000"/>
              </w:rPr>
            </w:pPr>
            <w:r w:rsidRPr="00AD601A">
              <w:rPr>
                <w:color w:val="000000"/>
              </w:rPr>
              <w:t>social science; no SR</w:t>
            </w:r>
          </w:p>
        </w:tc>
      </w:tr>
      <w:tr w:rsidR="00416583" w:rsidRPr="00AD601A" w14:paraId="56714204" w14:textId="77777777" w:rsidTr="00494032">
        <w:trPr>
          <w:trHeight w:val="300"/>
        </w:trPr>
        <w:tc>
          <w:tcPr>
            <w:tcW w:w="3600" w:type="dxa"/>
            <w:tcBorders>
              <w:top w:val="nil"/>
              <w:left w:val="nil"/>
              <w:bottom w:val="nil"/>
              <w:right w:val="nil"/>
            </w:tcBorders>
            <w:shd w:val="clear" w:color="auto" w:fill="auto"/>
            <w:noWrap/>
            <w:vAlign w:val="bottom"/>
            <w:hideMark/>
          </w:tcPr>
          <w:p w14:paraId="5A36906D" w14:textId="77777777" w:rsidR="00416583" w:rsidRPr="00AD601A" w:rsidRDefault="00416583" w:rsidP="00494032">
            <w:pPr>
              <w:rPr>
                <w:color w:val="000000"/>
              </w:rPr>
            </w:pPr>
            <w:r w:rsidRPr="00AD601A">
              <w:rPr>
                <w:color w:val="000000"/>
              </w:rPr>
              <w:t>autism and "grammatical judgement"</w:t>
            </w:r>
          </w:p>
        </w:tc>
        <w:tc>
          <w:tcPr>
            <w:tcW w:w="3260" w:type="dxa"/>
            <w:tcBorders>
              <w:top w:val="nil"/>
              <w:left w:val="nil"/>
              <w:bottom w:val="nil"/>
              <w:right w:val="nil"/>
            </w:tcBorders>
            <w:shd w:val="clear" w:color="auto" w:fill="auto"/>
            <w:noWrap/>
            <w:vAlign w:val="bottom"/>
            <w:hideMark/>
          </w:tcPr>
          <w:p w14:paraId="7A4F7CBC" w14:textId="77777777" w:rsidR="00416583" w:rsidRPr="00AD601A" w:rsidRDefault="00416583" w:rsidP="00494032">
            <w:pPr>
              <w:rPr>
                <w:color w:val="000000"/>
              </w:rPr>
            </w:pPr>
            <w:r w:rsidRPr="00AD601A">
              <w:rPr>
                <w:color w:val="000000"/>
              </w:rPr>
              <w:t>social science; no SR</w:t>
            </w:r>
          </w:p>
        </w:tc>
      </w:tr>
      <w:tr w:rsidR="00416583" w:rsidRPr="00AD601A" w14:paraId="0B6FF3A3" w14:textId="77777777" w:rsidTr="00494032">
        <w:trPr>
          <w:trHeight w:val="300"/>
        </w:trPr>
        <w:tc>
          <w:tcPr>
            <w:tcW w:w="3600" w:type="dxa"/>
            <w:tcBorders>
              <w:top w:val="nil"/>
              <w:left w:val="nil"/>
              <w:bottom w:val="nil"/>
              <w:right w:val="nil"/>
            </w:tcBorders>
            <w:shd w:val="clear" w:color="auto" w:fill="auto"/>
            <w:noWrap/>
            <w:vAlign w:val="bottom"/>
            <w:hideMark/>
          </w:tcPr>
          <w:p w14:paraId="51FE67E6" w14:textId="77777777" w:rsidR="00416583" w:rsidRPr="00AD601A" w:rsidRDefault="00416583" w:rsidP="00494032">
            <w:pPr>
              <w:rPr>
                <w:color w:val="000000"/>
              </w:rPr>
            </w:pPr>
            <w:r w:rsidRPr="00AD601A">
              <w:rPr>
                <w:color w:val="000000"/>
              </w:rPr>
              <w:t>autism and "morphosyntax"</w:t>
            </w:r>
          </w:p>
        </w:tc>
        <w:tc>
          <w:tcPr>
            <w:tcW w:w="3260" w:type="dxa"/>
            <w:tcBorders>
              <w:top w:val="nil"/>
              <w:left w:val="nil"/>
              <w:bottom w:val="nil"/>
              <w:right w:val="nil"/>
            </w:tcBorders>
            <w:shd w:val="clear" w:color="auto" w:fill="auto"/>
            <w:noWrap/>
            <w:vAlign w:val="bottom"/>
            <w:hideMark/>
          </w:tcPr>
          <w:p w14:paraId="27E4B13B" w14:textId="77777777" w:rsidR="00416583" w:rsidRPr="00AD601A" w:rsidRDefault="00416583" w:rsidP="00494032">
            <w:pPr>
              <w:rPr>
                <w:color w:val="000000"/>
              </w:rPr>
            </w:pPr>
            <w:r w:rsidRPr="00AD601A">
              <w:rPr>
                <w:color w:val="000000"/>
              </w:rPr>
              <w:t>social science; no SR</w:t>
            </w:r>
          </w:p>
        </w:tc>
      </w:tr>
      <w:tr w:rsidR="00416583" w:rsidRPr="00AD601A" w14:paraId="1561662D" w14:textId="77777777" w:rsidTr="00494032">
        <w:trPr>
          <w:trHeight w:val="300"/>
        </w:trPr>
        <w:tc>
          <w:tcPr>
            <w:tcW w:w="3600" w:type="dxa"/>
            <w:tcBorders>
              <w:top w:val="nil"/>
              <w:left w:val="nil"/>
              <w:bottom w:val="nil"/>
              <w:right w:val="nil"/>
            </w:tcBorders>
            <w:shd w:val="clear" w:color="auto" w:fill="auto"/>
            <w:noWrap/>
            <w:vAlign w:val="bottom"/>
            <w:hideMark/>
          </w:tcPr>
          <w:p w14:paraId="60E26777" w14:textId="77777777" w:rsidR="00416583" w:rsidRPr="00AD601A" w:rsidRDefault="00416583" w:rsidP="00494032">
            <w:pPr>
              <w:rPr>
                <w:color w:val="000000"/>
              </w:rPr>
            </w:pPr>
            <w:r w:rsidRPr="00AD601A">
              <w:rPr>
                <w:color w:val="000000"/>
              </w:rPr>
              <w:t>autism and "language development"</w:t>
            </w:r>
          </w:p>
        </w:tc>
        <w:tc>
          <w:tcPr>
            <w:tcW w:w="3260" w:type="dxa"/>
            <w:tcBorders>
              <w:top w:val="nil"/>
              <w:left w:val="nil"/>
              <w:bottom w:val="nil"/>
              <w:right w:val="nil"/>
            </w:tcBorders>
            <w:shd w:val="clear" w:color="auto" w:fill="auto"/>
            <w:noWrap/>
            <w:vAlign w:val="bottom"/>
            <w:hideMark/>
          </w:tcPr>
          <w:p w14:paraId="68A8235C" w14:textId="77777777" w:rsidR="00416583" w:rsidRPr="00AD601A" w:rsidRDefault="00416583" w:rsidP="00494032">
            <w:pPr>
              <w:rPr>
                <w:color w:val="000000"/>
              </w:rPr>
            </w:pPr>
            <w:r w:rsidRPr="00AD601A">
              <w:rPr>
                <w:color w:val="000000"/>
              </w:rPr>
              <w:t>social science; no SR</w:t>
            </w:r>
          </w:p>
        </w:tc>
      </w:tr>
      <w:tr w:rsidR="00416583" w:rsidRPr="00AD601A" w14:paraId="65372726" w14:textId="77777777" w:rsidTr="00494032">
        <w:trPr>
          <w:trHeight w:val="300"/>
        </w:trPr>
        <w:tc>
          <w:tcPr>
            <w:tcW w:w="3600" w:type="dxa"/>
            <w:tcBorders>
              <w:top w:val="nil"/>
              <w:left w:val="nil"/>
              <w:bottom w:val="nil"/>
              <w:right w:val="nil"/>
            </w:tcBorders>
            <w:shd w:val="clear" w:color="auto" w:fill="auto"/>
            <w:noWrap/>
            <w:vAlign w:val="bottom"/>
            <w:hideMark/>
          </w:tcPr>
          <w:p w14:paraId="54999973" w14:textId="77777777" w:rsidR="00416583" w:rsidRPr="00AD601A" w:rsidRDefault="00416583" w:rsidP="00494032">
            <w:pPr>
              <w:rPr>
                <w:color w:val="000000"/>
              </w:rPr>
            </w:pPr>
            <w:r w:rsidRPr="00AD601A">
              <w:rPr>
                <w:color w:val="000000"/>
              </w:rPr>
              <w:t>autism and "verbal behavior"</w:t>
            </w:r>
          </w:p>
        </w:tc>
        <w:tc>
          <w:tcPr>
            <w:tcW w:w="3260" w:type="dxa"/>
            <w:tcBorders>
              <w:top w:val="nil"/>
              <w:left w:val="nil"/>
              <w:bottom w:val="nil"/>
              <w:right w:val="nil"/>
            </w:tcBorders>
            <w:shd w:val="clear" w:color="auto" w:fill="auto"/>
            <w:noWrap/>
            <w:vAlign w:val="bottom"/>
            <w:hideMark/>
          </w:tcPr>
          <w:p w14:paraId="23A0A719" w14:textId="77777777" w:rsidR="00416583" w:rsidRPr="00AD601A" w:rsidRDefault="00416583" w:rsidP="00494032">
            <w:pPr>
              <w:rPr>
                <w:color w:val="000000"/>
              </w:rPr>
            </w:pPr>
            <w:r w:rsidRPr="00AD601A">
              <w:rPr>
                <w:color w:val="000000"/>
              </w:rPr>
              <w:t>social science; no SR</w:t>
            </w:r>
          </w:p>
        </w:tc>
      </w:tr>
      <w:tr w:rsidR="00416583" w:rsidRPr="00AD601A" w14:paraId="165DA15A" w14:textId="77777777" w:rsidTr="00494032">
        <w:trPr>
          <w:trHeight w:val="300"/>
        </w:trPr>
        <w:tc>
          <w:tcPr>
            <w:tcW w:w="3600" w:type="dxa"/>
            <w:tcBorders>
              <w:top w:val="nil"/>
              <w:left w:val="nil"/>
              <w:bottom w:val="nil"/>
              <w:right w:val="nil"/>
            </w:tcBorders>
            <w:shd w:val="clear" w:color="auto" w:fill="auto"/>
            <w:noWrap/>
            <w:vAlign w:val="bottom"/>
            <w:hideMark/>
          </w:tcPr>
          <w:p w14:paraId="0FE5B812" w14:textId="77777777" w:rsidR="00416583" w:rsidRPr="00AD601A" w:rsidRDefault="00416583" w:rsidP="00494032">
            <w:pPr>
              <w:rPr>
                <w:color w:val="000000"/>
              </w:rPr>
            </w:pPr>
            <w:r w:rsidRPr="00AD601A">
              <w:rPr>
                <w:color w:val="000000"/>
              </w:rPr>
              <w:t>autism and "language disorders"</w:t>
            </w:r>
          </w:p>
        </w:tc>
        <w:tc>
          <w:tcPr>
            <w:tcW w:w="3260" w:type="dxa"/>
            <w:tcBorders>
              <w:top w:val="nil"/>
              <w:left w:val="nil"/>
              <w:bottom w:val="nil"/>
              <w:right w:val="nil"/>
            </w:tcBorders>
            <w:shd w:val="clear" w:color="auto" w:fill="auto"/>
            <w:noWrap/>
            <w:vAlign w:val="bottom"/>
            <w:hideMark/>
          </w:tcPr>
          <w:p w14:paraId="7AD34727" w14:textId="77777777" w:rsidR="00416583" w:rsidRPr="00AD601A" w:rsidRDefault="00416583" w:rsidP="00494032">
            <w:pPr>
              <w:rPr>
                <w:color w:val="000000"/>
              </w:rPr>
            </w:pPr>
            <w:r w:rsidRPr="00AD601A">
              <w:rPr>
                <w:color w:val="000000"/>
              </w:rPr>
              <w:t>social science; no SR</w:t>
            </w:r>
          </w:p>
        </w:tc>
      </w:tr>
      <w:tr w:rsidR="00416583" w:rsidRPr="00AD601A" w14:paraId="2FE42EFB" w14:textId="77777777" w:rsidTr="00494032">
        <w:trPr>
          <w:trHeight w:val="300"/>
        </w:trPr>
        <w:tc>
          <w:tcPr>
            <w:tcW w:w="3600" w:type="dxa"/>
            <w:tcBorders>
              <w:top w:val="nil"/>
              <w:left w:val="nil"/>
              <w:bottom w:val="nil"/>
              <w:right w:val="nil"/>
            </w:tcBorders>
            <w:shd w:val="clear" w:color="auto" w:fill="auto"/>
            <w:noWrap/>
            <w:vAlign w:val="bottom"/>
            <w:hideMark/>
          </w:tcPr>
          <w:p w14:paraId="2103A8AD" w14:textId="77777777" w:rsidR="00416583" w:rsidRPr="00AD601A" w:rsidRDefault="00416583" w:rsidP="00494032">
            <w:pPr>
              <w:rPr>
                <w:color w:val="000000"/>
              </w:rPr>
            </w:pPr>
            <w:r w:rsidRPr="00AD601A">
              <w:rPr>
                <w:color w:val="000000"/>
              </w:rPr>
              <w:t>autism and "nonverbal communication"</w:t>
            </w:r>
          </w:p>
        </w:tc>
        <w:tc>
          <w:tcPr>
            <w:tcW w:w="3260" w:type="dxa"/>
            <w:tcBorders>
              <w:top w:val="nil"/>
              <w:left w:val="nil"/>
              <w:bottom w:val="nil"/>
              <w:right w:val="nil"/>
            </w:tcBorders>
            <w:shd w:val="clear" w:color="auto" w:fill="auto"/>
            <w:noWrap/>
            <w:vAlign w:val="bottom"/>
            <w:hideMark/>
          </w:tcPr>
          <w:p w14:paraId="246ACA6B" w14:textId="77777777" w:rsidR="00416583" w:rsidRPr="00AD601A" w:rsidRDefault="00416583" w:rsidP="00494032">
            <w:pPr>
              <w:rPr>
                <w:color w:val="000000"/>
              </w:rPr>
            </w:pPr>
            <w:r w:rsidRPr="00AD601A">
              <w:rPr>
                <w:color w:val="000000"/>
              </w:rPr>
              <w:t>social science; no SR</w:t>
            </w:r>
          </w:p>
        </w:tc>
      </w:tr>
      <w:tr w:rsidR="00416583" w:rsidRPr="00AD601A" w14:paraId="08DFE85B" w14:textId="77777777" w:rsidTr="00494032">
        <w:trPr>
          <w:trHeight w:val="300"/>
        </w:trPr>
        <w:tc>
          <w:tcPr>
            <w:tcW w:w="3600" w:type="dxa"/>
            <w:tcBorders>
              <w:top w:val="nil"/>
              <w:left w:val="nil"/>
              <w:bottom w:val="nil"/>
              <w:right w:val="nil"/>
            </w:tcBorders>
            <w:shd w:val="clear" w:color="auto" w:fill="auto"/>
            <w:noWrap/>
            <w:vAlign w:val="bottom"/>
            <w:hideMark/>
          </w:tcPr>
          <w:p w14:paraId="5FEB314B" w14:textId="77777777" w:rsidR="00416583" w:rsidRPr="00AD601A" w:rsidRDefault="00416583" w:rsidP="00494032">
            <w:pPr>
              <w:rPr>
                <w:color w:val="000000"/>
              </w:rPr>
            </w:pPr>
            <w:r w:rsidRPr="00AD601A">
              <w:rPr>
                <w:color w:val="000000"/>
              </w:rPr>
              <w:t>autism and "language test"</w:t>
            </w:r>
          </w:p>
        </w:tc>
        <w:tc>
          <w:tcPr>
            <w:tcW w:w="3260" w:type="dxa"/>
            <w:tcBorders>
              <w:top w:val="nil"/>
              <w:left w:val="nil"/>
              <w:bottom w:val="nil"/>
              <w:right w:val="nil"/>
            </w:tcBorders>
            <w:shd w:val="clear" w:color="auto" w:fill="auto"/>
            <w:noWrap/>
            <w:vAlign w:val="bottom"/>
            <w:hideMark/>
          </w:tcPr>
          <w:p w14:paraId="5CCEE97B" w14:textId="77777777" w:rsidR="00416583" w:rsidRPr="00AD601A" w:rsidRDefault="00416583" w:rsidP="00494032">
            <w:pPr>
              <w:rPr>
                <w:color w:val="000000"/>
              </w:rPr>
            </w:pPr>
            <w:r w:rsidRPr="00AD601A">
              <w:rPr>
                <w:color w:val="000000"/>
              </w:rPr>
              <w:t>social science; no SR</w:t>
            </w:r>
          </w:p>
        </w:tc>
      </w:tr>
      <w:tr w:rsidR="00416583" w:rsidRPr="00AD601A" w14:paraId="1DFDF13B" w14:textId="77777777" w:rsidTr="00494032">
        <w:trPr>
          <w:trHeight w:val="300"/>
        </w:trPr>
        <w:tc>
          <w:tcPr>
            <w:tcW w:w="3600" w:type="dxa"/>
            <w:tcBorders>
              <w:top w:val="nil"/>
              <w:left w:val="nil"/>
              <w:bottom w:val="nil"/>
              <w:right w:val="nil"/>
            </w:tcBorders>
            <w:shd w:val="clear" w:color="auto" w:fill="auto"/>
            <w:noWrap/>
            <w:vAlign w:val="bottom"/>
            <w:hideMark/>
          </w:tcPr>
          <w:p w14:paraId="10E1A847" w14:textId="77777777" w:rsidR="00416583" w:rsidRPr="00AD601A" w:rsidRDefault="00416583" w:rsidP="00494032">
            <w:pPr>
              <w:rPr>
                <w:color w:val="000000"/>
              </w:rPr>
            </w:pPr>
            <w:r w:rsidRPr="00AD601A">
              <w:rPr>
                <w:color w:val="000000"/>
              </w:rPr>
              <w:t>autism and "verbal language"</w:t>
            </w:r>
          </w:p>
        </w:tc>
        <w:tc>
          <w:tcPr>
            <w:tcW w:w="3260" w:type="dxa"/>
            <w:tcBorders>
              <w:top w:val="nil"/>
              <w:left w:val="nil"/>
              <w:bottom w:val="nil"/>
              <w:right w:val="nil"/>
            </w:tcBorders>
            <w:shd w:val="clear" w:color="auto" w:fill="auto"/>
            <w:noWrap/>
            <w:vAlign w:val="bottom"/>
            <w:hideMark/>
          </w:tcPr>
          <w:p w14:paraId="3C016EA1" w14:textId="77777777" w:rsidR="00416583" w:rsidRPr="00AD601A" w:rsidRDefault="00416583" w:rsidP="00494032">
            <w:pPr>
              <w:rPr>
                <w:color w:val="000000"/>
              </w:rPr>
            </w:pPr>
            <w:r w:rsidRPr="00AD601A">
              <w:rPr>
                <w:color w:val="000000"/>
              </w:rPr>
              <w:t>social science; no SR</w:t>
            </w:r>
          </w:p>
        </w:tc>
      </w:tr>
      <w:tr w:rsidR="00416583" w:rsidRPr="00AD601A" w14:paraId="7CB44FAC" w14:textId="77777777" w:rsidTr="00494032">
        <w:trPr>
          <w:trHeight w:val="300"/>
        </w:trPr>
        <w:tc>
          <w:tcPr>
            <w:tcW w:w="3600" w:type="dxa"/>
            <w:tcBorders>
              <w:top w:val="nil"/>
              <w:left w:val="nil"/>
              <w:bottom w:val="nil"/>
              <w:right w:val="nil"/>
            </w:tcBorders>
            <w:shd w:val="clear" w:color="auto" w:fill="auto"/>
            <w:noWrap/>
            <w:vAlign w:val="bottom"/>
            <w:hideMark/>
          </w:tcPr>
          <w:p w14:paraId="321C16A3" w14:textId="77777777" w:rsidR="00416583" w:rsidRPr="00AD601A" w:rsidRDefault="00416583" w:rsidP="00494032">
            <w:pPr>
              <w:rPr>
                <w:color w:val="000000"/>
              </w:rPr>
            </w:pPr>
            <w:r w:rsidRPr="00AD601A">
              <w:rPr>
                <w:color w:val="000000"/>
              </w:rPr>
              <w:t>autism and "verbal communication"</w:t>
            </w:r>
          </w:p>
        </w:tc>
        <w:tc>
          <w:tcPr>
            <w:tcW w:w="3260" w:type="dxa"/>
            <w:tcBorders>
              <w:top w:val="nil"/>
              <w:left w:val="nil"/>
              <w:bottom w:val="nil"/>
              <w:right w:val="nil"/>
            </w:tcBorders>
            <w:shd w:val="clear" w:color="auto" w:fill="auto"/>
            <w:noWrap/>
            <w:vAlign w:val="bottom"/>
            <w:hideMark/>
          </w:tcPr>
          <w:p w14:paraId="7A9D3983" w14:textId="77777777" w:rsidR="00416583" w:rsidRPr="00AD601A" w:rsidRDefault="00416583" w:rsidP="00494032">
            <w:pPr>
              <w:rPr>
                <w:color w:val="000000"/>
              </w:rPr>
            </w:pPr>
            <w:r w:rsidRPr="00AD601A">
              <w:rPr>
                <w:color w:val="000000"/>
              </w:rPr>
              <w:t>social science; no SR</w:t>
            </w:r>
          </w:p>
        </w:tc>
      </w:tr>
    </w:tbl>
    <w:p w14:paraId="2C6167B5" w14:textId="77777777" w:rsidR="00416583" w:rsidRPr="00AD601A" w:rsidRDefault="00416583" w:rsidP="00416583">
      <w:pPr>
        <w:rPr>
          <w:color w:val="000000"/>
        </w:rPr>
      </w:pPr>
    </w:p>
    <w:p w14:paraId="2FD445B9" w14:textId="77777777" w:rsidR="00416583" w:rsidRPr="00AD601A" w:rsidRDefault="00416583" w:rsidP="00416583"/>
    <w:p w14:paraId="7D83A22B" w14:textId="77777777" w:rsidR="00416583" w:rsidRPr="005D3DF7" w:rsidRDefault="00416583" w:rsidP="00416583">
      <w:pPr>
        <w:rPr>
          <w:b/>
          <w:bCs/>
        </w:rPr>
      </w:pPr>
    </w:p>
    <w:p w14:paraId="69131747" w14:textId="77777777" w:rsidR="00416583" w:rsidRPr="001433A9" w:rsidRDefault="00416583" w:rsidP="00FD1F9C">
      <w:pPr>
        <w:pStyle w:val="EndNoteBibliography"/>
        <w:ind w:left="720"/>
        <w:rPr>
          <w:noProof/>
          <w:color w:val="000000" w:themeColor="text1"/>
        </w:rPr>
      </w:pPr>
    </w:p>
    <w:sectPr w:rsidR="00416583" w:rsidRPr="001433A9" w:rsidSect="00416583">
      <w:headerReference w:type="even" r:id="rId22"/>
      <w:head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20701F" w14:textId="77777777" w:rsidR="00A04378" w:rsidRDefault="00A04378">
      <w:r>
        <w:separator/>
      </w:r>
    </w:p>
  </w:endnote>
  <w:endnote w:type="continuationSeparator" w:id="0">
    <w:p w14:paraId="41510B69" w14:textId="77777777" w:rsidR="00A04378" w:rsidRDefault="00A04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altName w:val="Arial"/>
    <w:panose1 w:val="020B0604020202020204"/>
    <w:charset w:val="00"/>
    <w:family w:val="swiss"/>
    <w:pitch w:val="variable"/>
    <w:sig w:usb0="E4002EFF" w:usb1="C000E47F" w:usb2="00000009" w:usb3="00000000" w:csb0="000001FF" w:csb1="00000000"/>
  </w:font>
  <w:font w:name="Times New Roman (Body CS)">
    <w:altName w:val="Times New Roman"/>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743481" w14:textId="77777777" w:rsidR="00A04378" w:rsidRDefault="00A04378">
      <w:r>
        <w:separator/>
      </w:r>
    </w:p>
  </w:footnote>
  <w:footnote w:type="continuationSeparator" w:id="0">
    <w:p w14:paraId="014283A0" w14:textId="77777777" w:rsidR="00A04378" w:rsidRDefault="00A043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48061461"/>
      <w:docPartObj>
        <w:docPartGallery w:val="Page Numbers (Top of Page)"/>
        <w:docPartUnique/>
      </w:docPartObj>
    </w:sdtPr>
    <w:sdtContent>
      <w:p w14:paraId="572C5981" w14:textId="77777777" w:rsidR="00A456FE" w:rsidRDefault="006D36A2" w:rsidP="004A042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729C21" w14:textId="77777777" w:rsidR="00A456FE" w:rsidRDefault="00000000" w:rsidP="00B0665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89038" w14:textId="7E2D7B0C" w:rsidR="00A456FE" w:rsidRDefault="00E652DB" w:rsidP="00B06651">
    <w:pPr>
      <w:pStyle w:val="Header"/>
      <w:ind w:right="360"/>
    </w:pPr>
    <w:r>
      <w:t>SYSTEMATIC REVIEW OF LI IN ASD DEMOGRAPHICS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11A60"/>
    <w:multiLevelType w:val="hybridMultilevel"/>
    <w:tmpl w:val="1B74A3B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EC2E3EE2">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F65930"/>
    <w:multiLevelType w:val="hybridMultilevel"/>
    <w:tmpl w:val="87844F2E"/>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7927C18"/>
    <w:multiLevelType w:val="multilevel"/>
    <w:tmpl w:val="FA96C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1064FA"/>
    <w:multiLevelType w:val="hybridMultilevel"/>
    <w:tmpl w:val="8BD4C49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9D4030"/>
    <w:multiLevelType w:val="multilevel"/>
    <w:tmpl w:val="63902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7B6A61"/>
    <w:multiLevelType w:val="hybridMultilevel"/>
    <w:tmpl w:val="9B62A014"/>
    <w:lvl w:ilvl="0" w:tplc="AA6A3088">
      <w:start w:val="1"/>
      <w:numFmt w:val="decimal"/>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F332A0"/>
    <w:multiLevelType w:val="hybridMultilevel"/>
    <w:tmpl w:val="2F842FF8"/>
    <w:lvl w:ilvl="0" w:tplc="BE508516">
      <w:start w:val="1"/>
      <w:numFmt w:val="bullet"/>
      <w:lvlText w:val="*"/>
      <w:lvlJc w:val="left"/>
      <w:pPr>
        <w:ind w:left="1080" w:hanging="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E361442">
      <w:start w:val="1"/>
      <w:numFmt w:val="bullet"/>
      <w:lvlText w:val="o"/>
      <w:lvlJc w:val="left"/>
      <w:pPr>
        <w:ind w:left="16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78427EA">
      <w:start w:val="1"/>
      <w:numFmt w:val="bullet"/>
      <w:lvlText w:val="▪"/>
      <w:lvlJc w:val="left"/>
      <w:pPr>
        <w:ind w:left="23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A908F12">
      <w:start w:val="1"/>
      <w:numFmt w:val="bullet"/>
      <w:lvlText w:val="•"/>
      <w:lvlJc w:val="left"/>
      <w:pPr>
        <w:ind w:left="30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5BE30BA">
      <w:start w:val="1"/>
      <w:numFmt w:val="bullet"/>
      <w:lvlText w:val="o"/>
      <w:lvlJc w:val="left"/>
      <w:pPr>
        <w:ind w:left="37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C747C94">
      <w:start w:val="1"/>
      <w:numFmt w:val="bullet"/>
      <w:lvlText w:val="▪"/>
      <w:lvlJc w:val="left"/>
      <w:pPr>
        <w:ind w:left="45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D2EB910">
      <w:start w:val="1"/>
      <w:numFmt w:val="bullet"/>
      <w:lvlText w:val="•"/>
      <w:lvlJc w:val="left"/>
      <w:pPr>
        <w:ind w:left="52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612B89C">
      <w:start w:val="1"/>
      <w:numFmt w:val="bullet"/>
      <w:lvlText w:val="o"/>
      <w:lvlJc w:val="left"/>
      <w:pPr>
        <w:ind w:left="59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C408D88">
      <w:start w:val="1"/>
      <w:numFmt w:val="bullet"/>
      <w:lvlText w:val="▪"/>
      <w:lvlJc w:val="left"/>
      <w:pPr>
        <w:ind w:left="66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53C7538"/>
    <w:multiLevelType w:val="hybridMultilevel"/>
    <w:tmpl w:val="5D666D0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5205504E"/>
    <w:multiLevelType w:val="hybridMultilevel"/>
    <w:tmpl w:val="147C4D18"/>
    <w:lvl w:ilvl="0" w:tplc="8A2ADB50">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1766ED"/>
    <w:multiLevelType w:val="hybridMultilevel"/>
    <w:tmpl w:val="87844F2E"/>
    <w:lvl w:ilvl="0" w:tplc="04090019">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0DB7D0C"/>
    <w:multiLevelType w:val="hybridMultilevel"/>
    <w:tmpl w:val="6E0E89EC"/>
    <w:lvl w:ilvl="0" w:tplc="E610A6AA">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1E3C27"/>
    <w:multiLevelType w:val="hybridMultilevel"/>
    <w:tmpl w:val="EDDEFD4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0054E5A"/>
    <w:multiLevelType w:val="hybridMultilevel"/>
    <w:tmpl w:val="2FCADE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B780601"/>
    <w:multiLevelType w:val="hybridMultilevel"/>
    <w:tmpl w:val="0E482F18"/>
    <w:lvl w:ilvl="0" w:tplc="579ECB12">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2945556">
    <w:abstractNumId w:val="3"/>
  </w:num>
  <w:num w:numId="2" w16cid:durableId="522940209">
    <w:abstractNumId w:val="5"/>
  </w:num>
  <w:num w:numId="3" w16cid:durableId="1969161572">
    <w:abstractNumId w:val="0"/>
  </w:num>
  <w:num w:numId="4" w16cid:durableId="1904290352">
    <w:abstractNumId w:val="2"/>
  </w:num>
  <w:num w:numId="5" w16cid:durableId="661932034">
    <w:abstractNumId w:val="12"/>
  </w:num>
  <w:num w:numId="6" w16cid:durableId="808671167">
    <w:abstractNumId w:val="9"/>
  </w:num>
  <w:num w:numId="7" w16cid:durableId="118962376">
    <w:abstractNumId w:val="1"/>
  </w:num>
  <w:num w:numId="8" w16cid:durableId="322241303">
    <w:abstractNumId w:val="10"/>
  </w:num>
  <w:num w:numId="9" w16cid:durableId="860507863">
    <w:abstractNumId w:val="8"/>
  </w:num>
  <w:num w:numId="10" w16cid:durableId="1388727638">
    <w:abstractNumId w:val="13"/>
  </w:num>
  <w:num w:numId="11" w16cid:durableId="941645329">
    <w:abstractNumId w:val="11"/>
  </w:num>
  <w:num w:numId="12" w16cid:durableId="89813210">
    <w:abstractNumId w:val="7"/>
  </w:num>
  <w:num w:numId="13" w16cid:durableId="313263676">
    <w:abstractNumId w:val="6"/>
  </w:num>
  <w:num w:numId="14" w16cid:durableId="13741131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5esdwstqravs7ett01vvr0xfser2p2s9ats&quot;&gt;My EndNote Library-Converted Copy&lt;record-ids&gt;&lt;item&gt;944&lt;/item&gt;&lt;item&gt;992&lt;/item&gt;&lt;item&gt;993&lt;/item&gt;&lt;item&gt;994&lt;/item&gt;&lt;item&gt;995&lt;/item&gt;&lt;item&gt;996&lt;/item&gt;&lt;item&gt;997&lt;/item&gt;&lt;item&gt;998&lt;/item&gt;&lt;/record-ids&gt;&lt;/item&gt;&lt;/Libraries&gt;"/>
  </w:docVars>
  <w:rsids>
    <w:rsidRoot w:val="00C82253"/>
    <w:rsid w:val="00003A59"/>
    <w:rsid w:val="00004D2C"/>
    <w:rsid w:val="0000552B"/>
    <w:rsid w:val="00007625"/>
    <w:rsid w:val="000109AD"/>
    <w:rsid w:val="000109DD"/>
    <w:rsid w:val="000134B6"/>
    <w:rsid w:val="000140C5"/>
    <w:rsid w:val="00015D1F"/>
    <w:rsid w:val="00017E91"/>
    <w:rsid w:val="00020A34"/>
    <w:rsid w:val="00021153"/>
    <w:rsid w:val="00023F93"/>
    <w:rsid w:val="00025B2F"/>
    <w:rsid w:val="0002698C"/>
    <w:rsid w:val="00031199"/>
    <w:rsid w:val="00037E3B"/>
    <w:rsid w:val="00040AAB"/>
    <w:rsid w:val="0004395E"/>
    <w:rsid w:val="000470BB"/>
    <w:rsid w:val="00047CFB"/>
    <w:rsid w:val="000524C8"/>
    <w:rsid w:val="000550EA"/>
    <w:rsid w:val="00064E67"/>
    <w:rsid w:val="00065D40"/>
    <w:rsid w:val="00067E62"/>
    <w:rsid w:val="00070EA2"/>
    <w:rsid w:val="000722D9"/>
    <w:rsid w:val="00073F2E"/>
    <w:rsid w:val="00075DCE"/>
    <w:rsid w:val="000778C9"/>
    <w:rsid w:val="00077EDA"/>
    <w:rsid w:val="00080350"/>
    <w:rsid w:val="000806BC"/>
    <w:rsid w:val="000831C6"/>
    <w:rsid w:val="0008333C"/>
    <w:rsid w:val="0008511D"/>
    <w:rsid w:val="00085CD6"/>
    <w:rsid w:val="00085D4A"/>
    <w:rsid w:val="000870A4"/>
    <w:rsid w:val="00092745"/>
    <w:rsid w:val="00095F82"/>
    <w:rsid w:val="000A3544"/>
    <w:rsid w:val="000A38D9"/>
    <w:rsid w:val="000A5100"/>
    <w:rsid w:val="000A552C"/>
    <w:rsid w:val="000A5DF2"/>
    <w:rsid w:val="000A659D"/>
    <w:rsid w:val="000B1558"/>
    <w:rsid w:val="000B2395"/>
    <w:rsid w:val="000B4521"/>
    <w:rsid w:val="000B4B95"/>
    <w:rsid w:val="000B6DF9"/>
    <w:rsid w:val="000B7ADA"/>
    <w:rsid w:val="000C03A0"/>
    <w:rsid w:val="000C483D"/>
    <w:rsid w:val="000C4AED"/>
    <w:rsid w:val="000C7147"/>
    <w:rsid w:val="000D0BEB"/>
    <w:rsid w:val="000D1782"/>
    <w:rsid w:val="000D7067"/>
    <w:rsid w:val="000E2B75"/>
    <w:rsid w:val="000E3D7A"/>
    <w:rsid w:val="000E578E"/>
    <w:rsid w:val="000E5C35"/>
    <w:rsid w:val="000E7D1C"/>
    <w:rsid w:val="000F0FC5"/>
    <w:rsid w:val="001007DD"/>
    <w:rsid w:val="001019E9"/>
    <w:rsid w:val="00103BF7"/>
    <w:rsid w:val="00110173"/>
    <w:rsid w:val="001107EE"/>
    <w:rsid w:val="0011181B"/>
    <w:rsid w:val="00111C63"/>
    <w:rsid w:val="00116685"/>
    <w:rsid w:val="001176E3"/>
    <w:rsid w:val="00125945"/>
    <w:rsid w:val="0013207A"/>
    <w:rsid w:val="00132C40"/>
    <w:rsid w:val="00133735"/>
    <w:rsid w:val="001357C8"/>
    <w:rsid w:val="00135C6F"/>
    <w:rsid w:val="00135F90"/>
    <w:rsid w:val="001400A5"/>
    <w:rsid w:val="001409B4"/>
    <w:rsid w:val="00141D33"/>
    <w:rsid w:val="00142FA8"/>
    <w:rsid w:val="001433A9"/>
    <w:rsid w:val="0014401B"/>
    <w:rsid w:val="00144366"/>
    <w:rsid w:val="00144868"/>
    <w:rsid w:val="001448A5"/>
    <w:rsid w:val="0014614C"/>
    <w:rsid w:val="001463BA"/>
    <w:rsid w:val="00147EF0"/>
    <w:rsid w:val="001500E8"/>
    <w:rsid w:val="001502F5"/>
    <w:rsid w:val="001524A2"/>
    <w:rsid w:val="00153757"/>
    <w:rsid w:val="001549DE"/>
    <w:rsid w:val="00155460"/>
    <w:rsid w:val="00155BAB"/>
    <w:rsid w:val="001563E6"/>
    <w:rsid w:val="00157002"/>
    <w:rsid w:val="00161E07"/>
    <w:rsid w:val="00164143"/>
    <w:rsid w:val="00170E80"/>
    <w:rsid w:val="00173690"/>
    <w:rsid w:val="00177A0F"/>
    <w:rsid w:val="001816F5"/>
    <w:rsid w:val="00191AC9"/>
    <w:rsid w:val="00192307"/>
    <w:rsid w:val="0019316B"/>
    <w:rsid w:val="001A0A2C"/>
    <w:rsid w:val="001A4069"/>
    <w:rsid w:val="001A5066"/>
    <w:rsid w:val="001A6ABA"/>
    <w:rsid w:val="001A6EB0"/>
    <w:rsid w:val="001A7E77"/>
    <w:rsid w:val="001B0F0E"/>
    <w:rsid w:val="001B1DE7"/>
    <w:rsid w:val="001B2C54"/>
    <w:rsid w:val="001B45C3"/>
    <w:rsid w:val="001B4C71"/>
    <w:rsid w:val="001C0498"/>
    <w:rsid w:val="001C5985"/>
    <w:rsid w:val="001D32CA"/>
    <w:rsid w:val="001E07F1"/>
    <w:rsid w:val="001E336D"/>
    <w:rsid w:val="001E35E4"/>
    <w:rsid w:val="001F0651"/>
    <w:rsid w:val="001F08FB"/>
    <w:rsid w:val="001F3DDE"/>
    <w:rsid w:val="001F4340"/>
    <w:rsid w:val="001F5848"/>
    <w:rsid w:val="001F71E4"/>
    <w:rsid w:val="00201EA6"/>
    <w:rsid w:val="00203E55"/>
    <w:rsid w:val="00204648"/>
    <w:rsid w:val="0021084A"/>
    <w:rsid w:val="00212F7B"/>
    <w:rsid w:val="002137C0"/>
    <w:rsid w:val="00214E48"/>
    <w:rsid w:val="00216CB6"/>
    <w:rsid w:val="0022187A"/>
    <w:rsid w:val="00222CAB"/>
    <w:rsid w:val="002247C0"/>
    <w:rsid w:val="002264E6"/>
    <w:rsid w:val="00226994"/>
    <w:rsid w:val="002278BB"/>
    <w:rsid w:val="00230E1D"/>
    <w:rsid w:val="00232C0D"/>
    <w:rsid w:val="0023557C"/>
    <w:rsid w:val="00236CA7"/>
    <w:rsid w:val="0024221C"/>
    <w:rsid w:val="002427AB"/>
    <w:rsid w:val="002546AB"/>
    <w:rsid w:val="00255B0A"/>
    <w:rsid w:val="00257445"/>
    <w:rsid w:val="002614D8"/>
    <w:rsid w:val="002624BF"/>
    <w:rsid w:val="00262CE3"/>
    <w:rsid w:val="00264667"/>
    <w:rsid w:val="002653F4"/>
    <w:rsid w:val="00266040"/>
    <w:rsid w:val="002707CB"/>
    <w:rsid w:val="00270862"/>
    <w:rsid w:val="002743EE"/>
    <w:rsid w:val="00274815"/>
    <w:rsid w:val="00275128"/>
    <w:rsid w:val="00275703"/>
    <w:rsid w:val="00276364"/>
    <w:rsid w:val="00285F91"/>
    <w:rsid w:val="00286514"/>
    <w:rsid w:val="00286ACA"/>
    <w:rsid w:val="00292191"/>
    <w:rsid w:val="002926A5"/>
    <w:rsid w:val="00292C9F"/>
    <w:rsid w:val="00293419"/>
    <w:rsid w:val="002969AA"/>
    <w:rsid w:val="00296B4E"/>
    <w:rsid w:val="00297746"/>
    <w:rsid w:val="0029777A"/>
    <w:rsid w:val="002A1C03"/>
    <w:rsid w:val="002A20FA"/>
    <w:rsid w:val="002A24FC"/>
    <w:rsid w:val="002A33BD"/>
    <w:rsid w:val="002A70E9"/>
    <w:rsid w:val="002A7816"/>
    <w:rsid w:val="002B1D31"/>
    <w:rsid w:val="002B458A"/>
    <w:rsid w:val="002B4D8F"/>
    <w:rsid w:val="002C11EB"/>
    <w:rsid w:val="002C4B21"/>
    <w:rsid w:val="002C6D27"/>
    <w:rsid w:val="002C6D50"/>
    <w:rsid w:val="002D0044"/>
    <w:rsid w:val="002D1BF6"/>
    <w:rsid w:val="002D22BA"/>
    <w:rsid w:val="002D237A"/>
    <w:rsid w:val="002D3956"/>
    <w:rsid w:val="002D3BE6"/>
    <w:rsid w:val="002D3C0C"/>
    <w:rsid w:val="002D47A1"/>
    <w:rsid w:val="002D48EF"/>
    <w:rsid w:val="002D5C96"/>
    <w:rsid w:val="002E167C"/>
    <w:rsid w:val="002E3D31"/>
    <w:rsid w:val="002E425F"/>
    <w:rsid w:val="002F1666"/>
    <w:rsid w:val="002F4909"/>
    <w:rsid w:val="002F4DDC"/>
    <w:rsid w:val="0030052A"/>
    <w:rsid w:val="003033DD"/>
    <w:rsid w:val="003038A2"/>
    <w:rsid w:val="0030437E"/>
    <w:rsid w:val="00305529"/>
    <w:rsid w:val="00310F9B"/>
    <w:rsid w:val="00311424"/>
    <w:rsid w:val="00312D0D"/>
    <w:rsid w:val="00321A78"/>
    <w:rsid w:val="00321C33"/>
    <w:rsid w:val="0032425C"/>
    <w:rsid w:val="0032560B"/>
    <w:rsid w:val="003257B5"/>
    <w:rsid w:val="00332B11"/>
    <w:rsid w:val="003334F1"/>
    <w:rsid w:val="00333BCE"/>
    <w:rsid w:val="00340B6F"/>
    <w:rsid w:val="00342C78"/>
    <w:rsid w:val="00344021"/>
    <w:rsid w:val="003453D7"/>
    <w:rsid w:val="0035136B"/>
    <w:rsid w:val="00353907"/>
    <w:rsid w:val="00353A50"/>
    <w:rsid w:val="0035457E"/>
    <w:rsid w:val="0035532C"/>
    <w:rsid w:val="00362987"/>
    <w:rsid w:val="003717E1"/>
    <w:rsid w:val="003728C5"/>
    <w:rsid w:val="003738FC"/>
    <w:rsid w:val="00374950"/>
    <w:rsid w:val="003755D3"/>
    <w:rsid w:val="003777F9"/>
    <w:rsid w:val="003811A9"/>
    <w:rsid w:val="00381C03"/>
    <w:rsid w:val="00381ED3"/>
    <w:rsid w:val="0038238F"/>
    <w:rsid w:val="003830F1"/>
    <w:rsid w:val="00383A9D"/>
    <w:rsid w:val="00384FFB"/>
    <w:rsid w:val="00385905"/>
    <w:rsid w:val="00385BC8"/>
    <w:rsid w:val="0039110E"/>
    <w:rsid w:val="0039116A"/>
    <w:rsid w:val="003918A0"/>
    <w:rsid w:val="00391E3E"/>
    <w:rsid w:val="00391FB0"/>
    <w:rsid w:val="003A0E1E"/>
    <w:rsid w:val="003A635B"/>
    <w:rsid w:val="003A7949"/>
    <w:rsid w:val="003B05BD"/>
    <w:rsid w:val="003B07B7"/>
    <w:rsid w:val="003B79BD"/>
    <w:rsid w:val="003B7A7A"/>
    <w:rsid w:val="003C4CB4"/>
    <w:rsid w:val="003D03DA"/>
    <w:rsid w:val="003D147D"/>
    <w:rsid w:val="003D19FD"/>
    <w:rsid w:val="003D276C"/>
    <w:rsid w:val="003D38DF"/>
    <w:rsid w:val="003E1158"/>
    <w:rsid w:val="003E227F"/>
    <w:rsid w:val="003E3653"/>
    <w:rsid w:val="003E773F"/>
    <w:rsid w:val="003F07E6"/>
    <w:rsid w:val="003F3201"/>
    <w:rsid w:val="00401DC8"/>
    <w:rsid w:val="00403C8F"/>
    <w:rsid w:val="004049AA"/>
    <w:rsid w:val="00405188"/>
    <w:rsid w:val="00405675"/>
    <w:rsid w:val="0040591C"/>
    <w:rsid w:val="00405A6D"/>
    <w:rsid w:val="00407493"/>
    <w:rsid w:val="0041389D"/>
    <w:rsid w:val="00416583"/>
    <w:rsid w:val="00425FE9"/>
    <w:rsid w:val="00426842"/>
    <w:rsid w:val="004329EC"/>
    <w:rsid w:val="00433C6E"/>
    <w:rsid w:val="0043630D"/>
    <w:rsid w:val="00436815"/>
    <w:rsid w:val="00436F60"/>
    <w:rsid w:val="00437D9D"/>
    <w:rsid w:val="0044052C"/>
    <w:rsid w:val="0044102D"/>
    <w:rsid w:val="00441412"/>
    <w:rsid w:val="00443176"/>
    <w:rsid w:val="00447820"/>
    <w:rsid w:val="00460195"/>
    <w:rsid w:val="00462A7F"/>
    <w:rsid w:val="00467CB0"/>
    <w:rsid w:val="00467E75"/>
    <w:rsid w:val="00474AFF"/>
    <w:rsid w:val="00481287"/>
    <w:rsid w:val="00483345"/>
    <w:rsid w:val="00485166"/>
    <w:rsid w:val="00485E09"/>
    <w:rsid w:val="00491BCB"/>
    <w:rsid w:val="0049248A"/>
    <w:rsid w:val="004942EE"/>
    <w:rsid w:val="00495205"/>
    <w:rsid w:val="0049522A"/>
    <w:rsid w:val="00495C37"/>
    <w:rsid w:val="0049605B"/>
    <w:rsid w:val="00497174"/>
    <w:rsid w:val="004A233F"/>
    <w:rsid w:val="004A6848"/>
    <w:rsid w:val="004A74E7"/>
    <w:rsid w:val="004B35E6"/>
    <w:rsid w:val="004B3820"/>
    <w:rsid w:val="004B396D"/>
    <w:rsid w:val="004B461D"/>
    <w:rsid w:val="004B4E45"/>
    <w:rsid w:val="004B53B1"/>
    <w:rsid w:val="004B6C84"/>
    <w:rsid w:val="004C0299"/>
    <w:rsid w:val="004C0FAB"/>
    <w:rsid w:val="004C3250"/>
    <w:rsid w:val="004C5E3D"/>
    <w:rsid w:val="004C6300"/>
    <w:rsid w:val="004D0AE2"/>
    <w:rsid w:val="004D4553"/>
    <w:rsid w:val="004D460C"/>
    <w:rsid w:val="004D5518"/>
    <w:rsid w:val="004E0E5B"/>
    <w:rsid w:val="004E348C"/>
    <w:rsid w:val="004E4889"/>
    <w:rsid w:val="004E787C"/>
    <w:rsid w:val="004F0569"/>
    <w:rsid w:val="004F0604"/>
    <w:rsid w:val="004F15A6"/>
    <w:rsid w:val="004F19C6"/>
    <w:rsid w:val="004F1C52"/>
    <w:rsid w:val="004F63AF"/>
    <w:rsid w:val="005003C9"/>
    <w:rsid w:val="005013DA"/>
    <w:rsid w:val="0050155E"/>
    <w:rsid w:val="00502985"/>
    <w:rsid w:val="005037C3"/>
    <w:rsid w:val="0050407A"/>
    <w:rsid w:val="005074A6"/>
    <w:rsid w:val="005126CD"/>
    <w:rsid w:val="005131EF"/>
    <w:rsid w:val="00513BB5"/>
    <w:rsid w:val="0051621A"/>
    <w:rsid w:val="00517734"/>
    <w:rsid w:val="00521CC6"/>
    <w:rsid w:val="005268A4"/>
    <w:rsid w:val="0052799B"/>
    <w:rsid w:val="00530C05"/>
    <w:rsid w:val="00533C2A"/>
    <w:rsid w:val="0053580A"/>
    <w:rsid w:val="00535B3D"/>
    <w:rsid w:val="00535FA3"/>
    <w:rsid w:val="00541334"/>
    <w:rsid w:val="005421B4"/>
    <w:rsid w:val="00542C63"/>
    <w:rsid w:val="0054360F"/>
    <w:rsid w:val="00543EFC"/>
    <w:rsid w:val="005454BD"/>
    <w:rsid w:val="00551FE4"/>
    <w:rsid w:val="00552A85"/>
    <w:rsid w:val="00552F12"/>
    <w:rsid w:val="005535C7"/>
    <w:rsid w:val="00554798"/>
    <w:rsid w:val="00554C21"/>
    <w:rsid w:val="00555268"/>
    <w:rsid w:val="005611A9"/>
    <w:rsid w:val="00562268"/>
    <w:rsid w:val="00563419"/>
    <w:rsid w:val="00563A1D"/>
    <w:rsid w:val="00566F37"/>
    <w:rsid w:val="005703FB"/>
    <w:rsid w:val="00577A8D"/>
    <w:rsid w:val="00584032"/>
    <w:rsid w:val="00586794"/>
    <w:rsid w:val="00592E66"/>
    <w:rsid w:val="0059607F"/>
    <w:rsid w:val="005A1680"/>
    <w:rsid w:val="005A5792"/>
    <w:rsid w:val="005A7C04"/>
    <w:rsid w:val="005B0980"/>
    <w:rsid w:val="005B0EBD"/>
    <w:rsid w:val="005B23D8"/>
    <w:rsid w:val="005B559C"/>
    <w:rsid w:val="005C18DF"/>
    <w:rsid w:val="005C1BBE"/>
    <w:rsid w:val="005C2BF2"/>
    <w:rsid w:val="005C2F00"/>
    <w:rsid w:val="005C5A8B"/>
    <w:rsid w:val="005D1038"/>
    <w:rsid w:val="005D4D1C"/>
    <w:rsid w:val="005D644E"/>
    <w:rsid w:val="005D6B42"/>
    <w:rsid w:val="005D774D"/>
    <w:rsid w:val="005D7D90"/>
    <w:rsid w:val="005E022A"/>
    <w:rsid w:val="005E035C"/>
    <w:rsid w:val="005E18AC"/>
    <w:rsid w:val="005E1B6B"/>
    <w:rsid w:val="005E2BC9"/>
    <w:rsid w:val="005E4778"/>
    <w:rsid w:val="005E47C7"/>
    <w:rsid w:val="005E5438"/>
    <w:rsid w:val="005E7AE1"/>
    <w:rsid w:val="005F0083"/>
    <w:rsid w:val="005F0C4E"/>
    <w:rsid w:val="005F1080"/>
    <w:rsid w:val="00602F38"/>
    <w:rsid w:val="00604670"/>
    <w:rsid w:val="006053B6"/>
    <w:rsid w:val="0060640E"/>
    <w:rsid w:val="00607191"/>
    <w:rsid w:val="00607C6A"/>
    <w:rsid w:val="00607CB1"/>
    <w:rsid w:val="006123E7"/>
    <w:rsid w:val="0061348F"/>
    <w:rsid w:val="0061476F"/>
    <w:rsid w:val="0061637A"/>
    <w:rsid w:val="00617641"/>
    <w:rsid w:val="006221E2"/>
    <w:rsid w:val="00623280"/>
    <w:rsid w:val="00623692"/>
    <w:rsid w:val="00623C2A"/>
    <w:rsid w:val="006242AC"/>
    <w:rsid w:val="00625A0C"/>
    <w:rsid w:val="00634380"/>
    <w:rsid w:val="00635B77"/>
    <w:rsid w:val="006407BB"/>
    <w:rsid w:val="00641C63"/>
    <w:rsid w:val="00641E28"/>
    <w:rsid w:val="00646C20"/>
    <w:rsid w:val="00650A6F"/>
    <w:rsid w:val="0065236B"/>
    <w:rsid w:val="0065263E"/>
    <w:rsid w:val="00654A83"/>
    <w:rsid w:val="00654C2B"/>
    <w:rsid w:val="00654C67"/>
    <w:rsid w:val="006551DB"/>
    <w:rsid w:val="006555E6"/>
    <w:rsid w:val="006578CE"/>
    <w:rsid w:val="0066018C"/>
    <w:rsid w:val="00660B83"/>
    <w:rsid w:val="0066111D"/>
    <w:rsid w:val="0066212A"/>
    <w:rsid w:val="00663B9C"/>
    <w:rsid w:val="00671872"/>
    <w:rsid w:val="00671F55"/>
    <w:rsid w:val="00672469"/>
    <w:rsid w:val="00676AE7"/>
    <w:rsid w:val="00680ACB"/>
    <w:rsid w:val="00683517"/>
    <w:rsid w:val="0068398D"/>
    <w:rsid w:val="00684197"/>
    <w:rsid w:val="00686B60"/>
    <w:rsid w:val="00687FEB"/>
    <w:rsid w:val="006903ED"/>
    <w:rsid w:val="0069389F"/>
    <w:rsid w:val="00695908"/>
    <w:rsid w:val="0069600C"/>
    <w:rsid w:val="006968CC"/>
    <w:rsid w:val="00696D21"/>
    <w:rsid w:val="00697ED8"/>
    <w:rsid w:val="006A0016"/>
    <w:rsid w:val="006A1202"/>
    <w:rsid w:val="006A25BE"/>
    <w:rsid w:val="006A33D7"/>
    <w:rsid w:val="006A365E"/>
    <w:rsid w:val="006A417E"/>
    <w:rsid w:val="006A517C"/>
    <w:rsid w:val="006A6CEE"/>
    <w:rsid w:val="006B3544"/>
    <w:rsid w:val="006B4D41"/>
    <w:rsid w:val="006B61E6"/>
    <w:rsid w:val="006B6DF7"/>
    <w:rsid w:val="006C2707"/>
    <w:rsid w:val="006C2CFD"/>
    <w:rsid w:val="006C2F45"/>
    <w:rsid w:val="006C45D3"/>
    <w:rsid w:val="006C5835"/>
    <w:rsid w:val="006D0C66"/>
    <w:rsid w:val="006D143B"/>
    <w:rsid w:val="006D2598"/>
    <w:rsid w:val="006D30F4"/>
    <w:rsid w:val="006D36A2"/>
    <w:rsid w:val="006D7F34"/>
    <w:rsid w:val="006E489E"/>
    <w:rsid w:val="006E507F"/>
    <w:rsid w:val="006E68F7"/>
    <w:rsid w:val="006F2B15"/>
    <w:rsid w:val="006F35E2"/>
    <w:rsid w:val="006F4D2E"/>
    <w:rsid w:val="006F5D3A"/>
    <w:rsid w:val="006F6856"/>
    <w:rsid w:val="006F6901"/>
    <w:rsid w:val="0070053D"/>
    <w:rsid w:val="00703CDB"/>
    <w:rsid w:val="007049F1"/>
    <w:rsid w:val="00705B3E"/>
    <w:rsid w:val="007076FF"/>
    <w:rsid w:val="00707F28"/>
    <w:rsid w:val="007111FA"/>
    <w:rsid w:val="00714A87"/>
    <w:rsid w:val="00715F94"/>
    <w:rsid w:val="0072194A"/>
    <w:rsid w:val="0072473D"/>
    <w:rsid w:val="007266E4"/>
    <w:rsid w:val="00726BA1"/>
    <w:rsid w:val="00727BEF"/>
    <w:rsid w:val="00732909"/>
    <w:rsid w:val="007336A3"/>
    <w:rsid w:val="00733EB8"/>
    <w:rsid w:val="007348B6"/>
    <w:rsid w:val="00736227"/>
    <w:rsid w:val="00736F02"/>
    <w:rsid w:val="00741D49"/>
    <w:rsid w:val="00743975"/>
    <w:rsid w:val="00744288"/>
    <w:rsid w:val="0074506B"/>
    <w:rsid w:val="007460D0"/>
    <w:rsid w:val="0074762D"/>
    <w:rsid w:val="00747783"/>
    <w:rsid w:val="00751C7D"/>
    <w:rsid w:val="0075286F"/>
    <w:rsid w:val="00757597"/>
    <w:rsid w:val="0076058C"/>
    <w:rsid w:val="00761888"/>
    <w:rsid w:val="00765033"/>
    <w:rsid w:val="00766F5A"/>
    <w:rsid w:val="00770BD2"/>
    <w:rsid w:val="00771863"/>
    <w:rsid w:val="00772D36"/>
    <w:rsid w:val="00773BE0"/>
    <w:rsid w:val="00774D80"/>
    <w:rsid w:val="00775B56"/>
    <w:rsid w:val="00776007"/>
    <w:rsid w:val="00776F76"/>
    <w:rsid w:val="00780F89"/>
    <w:rsid w:val="007825AE"/>
    <w:rsid w:val="00782B42"/>
    <w:rsid w:val="007909BD"/>
    <w:rsid w:val="007909EB"/>
    <w:rsid w:val="00792E0B"/>
    <w:rsid w:val="007955A4"/>
    <w:rsid w:val="007969EF"/>
    <w:rsid w:val="007979CC"/>
    <w:rsid w:val="00797F5D"/>
    <w:rsid w:val="007A077A"/>
    <w:rsid w:val="007A54F8"/>
    <w:rsid w:val="007B1049"/>
    <w:rsid w:val="007B1C70"/>
    <w:rsid w:val="007B2A04"/>
    <w:rsid w:val="007B381E"/>
    <w:rsid w:val="007C0D9E"/>
    <w:rsid w:val="007C33AC"/>
    <w:rsid w:val="007C5A5A"/>
    <w:rsid w:val="007C61C6"/>
    <w:rsid w:val="007D0E2C"/>
    <w:rsid w:val="007D1F7D"/>
    <w:rsid w:val="007D4330"/>
    <w:rsid w:val="007D6D98"/>
    <w:rsid w:val="007D6EC5"/>
    <w:rsid w:val="007E0221"/>
    <w:rsid w:val="007E2240"/>
    <w:rsid w:val="007E276E"/>
    <w:rsid w:val="007E69D5"/>
    <w:rsid w:val="007E73A9"/>
    <w:rsid w:val="007F4A1F"/>
    <w:rsid w:val="007F57B6"/>
    <w:rsid w:val="007F6BB7"/>
    <w:rsid w:val="007F71C6"/>
    <w:rsid w:val="007F72F5"/>
    <w:rsid w:val="00800E65"/>
    <w:rsid w:val="0080155E"/>
    <w:rsid w:val="008039C3"/>
    <w:rsid w:val="00804708"/>
    <w:rsid w:val="00810FC5"/>
    <w:rsid w:val="008124E5"/>
    <w:rsid w:val="00813BEE"/>
    <w:rsid w:val="00814983"/>
    <w:rsid w:val="00817EA0"/>
    <w:rsid w:val="00822460"/>
    <w:rsid w:val="00823C82"/>
    <w:rsid w:val="008256F2"/>
    <w:rsid w:val="00826141"/>
    <w:rsid w:val="00826EDB"/>
    <w:rsid w:val="008320BD"/>
    <w:rsid w:val="008412A6"/>
    <w:rsid w:val="0084159A"/>
    <w:rsid w:val="00842AEC"/>
    <w:rsid w:val="008441FB"/>
    <w:rsid w:val="0084443E"/>
    <w:rsid w:val="00844BC4"/>
    <w:rsid w:val="008459A5"/>
    <w:rsid w:val="00851E32"/>
    <w:rsid w:val="008522BE"/>
    <w:rsid w:val="00852FC8"/>
    <w:rsid w:val="00853062"/>
    <w:rsid w:val="00853B9D"/>
    <w:rsid w:val="0085700C"/>
    <w:rsid w:val="00862A3A"/>
    <w:rsid w:val="00863015"/>
    <w:rsid w:val="0086380F"/>
    <w:rsid w:val="00863D92"/>
    <w:rsid w:val="008733DC"/>
    <w:rsid w:val="008754A8"/>
    <w:rsid w:val="00876240"/>
    <w:rsid w:val="00876360"/>
    <w:rsid w:val="00880092"/>
    <w:rsid w:val="00882F3B"/>
    <w:rsid w:val="00890D8C"/>
    <w:rsid w:val="00892D3F"/>
    <w:rsid w:val="00896151"/>
    <w:rsid w:val="00897D3C"/>
    <w:rsid w:val="008A037F"/>
    <w:rsid w:val="008A1E8E"/>
    <w:rsid w:val="008A39CD"/>
    <w:rsid w:val="008A516C"/>
    <w:rsid w:val="008A6251"/>
    <w:rsid w:val="008A6C10"/>
    <w:rsid w:val="008B075D"/>
    <w:rsid w:val="008B4AD7"/>
    <w:rsid w:val="008B5168"/>
    <w:rsid w:val="008B5628"/>
    <w:rsid w:val="008C0696"/>
    <w:rsid w:val="008C5AB3"/>
    <w:rsid w:val="008C76B5"/>
    <w:rsid w:val="008D1DA1"/>
    <w:rsid w:val="008D250E"/>
    <w:rsid w:val="008D3A57"/>
    <w:rsid w:val="008E1CE3"/>
    <w:rsid w:val="008E3279"/>
    <w:rsid w:val="008E454C"/>
    <w:rsid w:val="008E4FD0"/>
    <w:rsid w:val="008E68CE"/>
    <w:rsid w:val="008E74FF"/>
    <w:rsid w:val="008F0BB6"/>
    <w:rsid w:val="008F1F65"/>
    <w:rsid w:val="008F2C1B"/>
    <w:rsid w:val="008F42C1"/>
    <w:rsid w:val="008F4808"/>
    <w:rsid w:val="008F4982"/>
    <w:rsid w:val="008F4A9F"/>
    <w:rsid w:val="00901870"/>
    <w:rsid w:val="00902CAA"/>
    <w:rsid w:val="00903AB2"/>
    <w:rsid w:val="00906D6D"/>
    <w:rsid w:val="0091188A"/>
    <w:rsid w:val="00913C00"/>
    <w:rsid w:val="00913CB0"/>
    <w:rsid w:val="009149AC"/>
    <w:rsid w:val="009171E9"/>
    <w:rsid w:val="00921F27"/>
    <w:rsid w:val="0092228E"/>
    <w:rsid w:val="00923B98"/>
    <w:rsid w:val="00926183"/>
    <w:rsid w:val="00934FD5"/>
    <w:rsid w:val="00937D9B"/>
    <w:rsid w:val="0094591A"/>
    <w:rsid w:val="0094614D"/>
    <w:rsid w:val="00946F2F"/>
    <w:rsid w:val="00951CA4"/>
    <w:rsid w:val="00953D2E"/>
    <w:rsid w:val="00955C3A"/>
    <w:rsid w:val="009566D5"/>
    <w:rsid w:val="00956F84"/>
    <w:rsid w:val="009570DD"/>
    <w:rsid w:val="00960947"/>
    <w:rsid w:val="00965045"/>
    <w:rsid w:val="009650A1"/>
    <w:rsid w:val="00966DFF"/>
    <w:rsid w:val="009677A7"/>
    <w:rsid w:val="00971B72"/>
    <w:rsid w:val="00974BBC"/>
    <w:rsid w:val="0097540F"/>
    <w:rsid w:val="00977BD6"/>
    <w:rsid w:val="00980F6D"/>
    <w:rsid w:val="0098214F"/>
    <w:rsid w:val="0098461E"/>
    <w:rsid w:val="00993730"/>
    <w:rsid w:val="00993AF8"/>
    <w:rsid w:val="0099474D"/>
    <w:rsid w:val="00997980"/>
    <w:rsid w:val="009979D4"/>
    <w:rsid w:val="009A00AF"/>
    <w:rsid w:val="009A2914"/>
    <w:rsid w:val="009A33FC"/>
    <w:rsid w:val="009A62B7"/>
    <w:rsid w:val="009A6A9F"/>
    <w:rsid w:val="009A72C7"/>
    <w:rsid w:val="009A7DE3"/>
    <w:rsid w:val="009B2511"/>
    <w:rsid w:val="009B3140"/>
    <w:rsid w:val="009B3DDB"/>
    <w:rsid w:val="009B4B1B"/>
    <w:rsid w:val="009B4B75"/>
    <w:rsid w:val="009B7605"/>
    <w:rsid w:val="009C229B"/>
    <w:rsid w:val="009C2930"/>
    <w:rsid w:val="009C4830"/>
    <w:rsid w:val="009C5A2A"/>
    <w:rsid w:val="009C5A4B"/>
    <w:rsid w:val="009C6CE5"/>
    <w:rsid w:val="009C7D8B"/>
    <w:rsid w:val="009D3071"/>
    <w:rsid w:val="009D4765"/>
    <w:rsid w:val="009E38C2"/>
    <w:rsid w:val="009E4B1B"/>
    <w:rsid w:val="009E58EA"/>
    <w:rsid w:val="009E6A2D"/>
    <w:rsid w:val="009F1D0B"/>
    <w:rsid w:val="009F1F56"/>
    <w:rsid w:val="009F30D1"/>
    <w:rsid w:val="009F4B22"/>
    <w:rsid w:val="009F52CD"/>
    <w:rsid w:val="009F57AE"/>
    <w:rsid w:val="00A00247"/>
    <w:rsid w:val="00A04378"/>
    <w:rsid w:val="00A0682E"/>
    <w:rsid w:val="00A0729F"/>
    <w:rsid w:val="00A11651"/>
    <w:rsid w:val="00A13EA6"/>
    <w:rsid w:val="00A16991"/>
    <w:rsid w:val="00A242F1"/>
    <w:rsid w:val="00A2441E"/>
    <w:rsid w:val="00A24A27"/>
    <w:rsid w:val="00A25784"/>
    <w:rsid w:val="00A25B03"/>
    <w:rsid w:val="00A3069C"/>
    <w:rsid w:val="00A31A7B"/>
    <w:rsid w:val="00A323B3"/>
    <w:rsid w:val="00A3258F"/>
    <w:rsid w:val="00A33212"/>
    <w:rsid w:val="00A36B3F"/>
    <w:rsid w:val="00A404FE"/>
    <w:rsid w:val="00A42585"/>
    <w:rsid w:val="00A42FA1"/>
    <w:rsid w:val="00A43262"/>
    <w:rsid w:val="00A438AE"/>
    <w:rsid w:val="00A50EDA"/>
    <w:rsid w:val="00A51B1E"/>
    <w:rsid w:val="00A539B1"/>
    <w:rsid w:val="00A55DC5"/>
    <w:rsid w:val="00A55E40"/>
    <w:rsid w:val="00A56712"/>
    <w:rsid w:val="00A56940"/>
    <w:rsid w:val="00A6079C"/>
    <w:rsid w:val="00A61F2B"/>
    <w:rsid w:val="00A6216F"/>
    <w:rsid w:val="00A6237E"/>
    <w:rsid w:val="00A635FC"/>
    <w:rsid w:val="00A65B38"/>
    <w:rsid w:val="00A661B2"/>
    <w:rsid w:val="00A7123D"/>
    <w:rsid w:val="00A72A44"/>
    <w:rsid w:val="00A74B3F"/>
    <w:rsid w:val="00A76195"/>
    <w:rsid w:val="00A76612"/>
    <w:rsid w:val="00A76E05"/>
    <w:rsid w:val="00A771C0"/>
    <w:rsid w:val="00A8368C"/>
    <w:rsid w:val="00A901FA"/>
    <w:rsid w:val="00A91080"/>
    <w:rsid w:val="00A95854"/>
    <w:rsid w:val="00AA17FB"/>
    <w:rsid w:val="00AA72AC"/>
    <w:rsid w:val="00AB1433"/>
    <w:rsid w:val="00AB19F9"/>
    <w:rsid w:val="00AB2606"/>
    <w:rsid w:val="00AB34C2"/>
    <w:rsid w:val="00AB4B46"/>
    <w:rsid w:val="00AB58FF"/>
    <w:rsid w:val="00AB5AA1"/>
    <w:rsid w:val="00AB689B"/>
    <w:rsid w:val="00AC5A53"/>
    <w:rsid w:val="00AC5F19"/>
    <w:rsid w:val="00AC7484"/>
    <w:rsid w:val="00AD0985"/>
    <w:rsid w:val="00AD1B5F"/>
    <w:rsid w:val="00AD1CD3"/>
    <w:rsid w:val="00AD248D"/>
    <w:rsid w:val="00AD423F"/>
    <w:rsid w:val="00AD5585"/>
    <w:rsid w:val="00AD76E7"/>
    <w:rsid w:val="00AE015E"/>
    <w:rsid w:val="00AE2FCE"/>
    <w:rsid w:val="00AE6990"/>
    <w:rsid w:val="00AF07B7"/>
    <w:rsid w:val="00AF0D34"/>
    <w:rsid w:val="00AF17E2"/>
    <w:rsid w:val="00AF2D11"/>
    <w:rsid w:val="00AF7247"/>
    <w:rsid w:val="00B004AA"/>
    <w:rsid w:val="00B01BF2"/>
    <w:rsid w:val="00B01D88"/>
    <w:rsid w:val="00B0606D"/>
    <w:rsid w:val="00B06B14"/>
    <w:rsid w:val="00B222BA"/>
    <w:rsid w:val="00B2369D"/>
    <w:rsid w:val="00B24413"/>
    <w:rsid w:val="00B249EE"/>
    <w:rsid w:val="00B25B7B"/>
    <w:rsid w:val="00B30881"/>
    <w:rsid w:val="00B312BE"/>
    <w:rsid w:val="00B35922"/>
    <w:rsid w:val="00B3786E"/>
    <w:rsid w:val="00B4130F"/>
    <w:rsid w:val="00B42EAB"/>
    <w:rsid w:val="00B4593C"/>
    <w:rsid w:val="00B46D26"/>
    <w:rsid w:val="00B47D6E"/>
    <w:rsid w:val="00B5079E"/>
    <w:rsid w:val="00B50E3D"/>
    <w:rsid w:val="00B53A23"/>
    <w:rsid w:val="00B55202"/>
    <w:rsid w:val="00B56688"/>
    <w:rsid w:val="00B56FED"/>
    <w:rsid w:val="00B579B9"/>
    <w:rsid w:val="00B62B5D"/>
    <w:rsid w:val="00B64055"/>
    <w:rsid w:val="00B647EE"/>
    <w:rsid w:val="00B67354"/>
    <w:rsid w:val="00B7266E"/>
    <w:rsid w:val="00B74C05"/>
    <w:rsid w:val="00B77212"/>
    <w:rsid w:val="00B83CD6"/>
    <w:rsid w:val="00B8698E"/>
    <w:rsid w:val="00B90F50"/>
    <w:rsid w:val="00B93C0B"/>
    <w:rsid w:val="00BA10A0"/>
    <w:rsid w:val="00BA43C5"/>
    <w:rsid w:val="00BB1C83"/>
    <w:rsid w:val="00BB3484"/>
    <w:rsid w:val="00BB3976"/>
    <w:rsid w:val="00BC1E25"/>
    <w:rsid w:val="00BD026D"/>
    <w:rsid w:val="00BD1291"/>
    <w:rsid w:val="00BD4647"/>
    <w:rsid w:val="00BD6135"/>
    <w:rsid w:val="00BE08D1"/>
    <w:rsid w:val="00BE21F2"/>
    <w:rsid w:val="00BE3D3A"/>
    <w:rsid w:val="00BE539B"/>
    <w:rsid w:val="00BE797F"/>
    <w:rsid w:val="00BF4481"/>
    <w:rsid w:val="00BF6B1B"/>
    <w:rsid w:val="00BF7828"/>
    <w:rsid w:val="00C00A05"/>
    <w:rsid w:val="00C02AF8"/>
    <w:rsid w:val="00C03A64"/>
    <w:rsid w:val="00C04689"/>
    <w:rsid w:val="00C04B1E"/>
    <w:rsid w:val="00C060F8"/>
    <w:rsid w:val="00C07FAB"/>
    <w:rsid w:val="00C10592"/>
    <w:rsid w:val="00C1166C"/>
    <w:rsid w:val="00C12DEA"/>
    <w:rsid w:val="00C15BE9"/>
    <w:rsid w:val="00C17316"/>
    <w:rsid w:val="00C20A54"/>
    <w:rsid w:val="00C22BDD"/>
    <w:rsid w:val="00C23328"/>
    <w:rsid w:val="00C255A1"/>
    <w:rsid w:val="00C3064B"/>
    <w:rsid w:val="00C3232E"/>
    <w:rsid w:val="00C34FB5"/>
    <w:rsid w:val="00C4050E"/>
    <w:rsid w:val="00C41066"/>
    <w:rsid w:val="00C414D7"/>
    <w:rsid w:val="00C4189A"/>
    <w:rsid w:val="00C474AC"/>
    <w:rsid w:val="00C50554"/>
    <w:rsid w:val="00C51F26"/>
    <w:rsid w:val="00C52A64"/>
    <w:rsid w:val="00C54798"/>
    <w:rsid w:val="00C5521B"/>
    <w:rsid w:val="00C5534E"/>
    <w:rsid w:val="00C57099"/>
    <w:rsid w:val="00C577FC"/>
    <w:rsid w:val="00C603E4"/>
    <w:rsid w:val="00C6251E"/>
    <w:rsid w:val="00C62B03"/>
    <w:rsid w:val="00C64663"/>
    <w:rsid w:val="00C659D6"/>
    <w:rsid w:val="00C6620B"/>
    <w:rsid w:val="00C76A69"/>
    <w:rsid w:val="00C76ACA"/>
    <w:rsid w:val="00C7701B"/>
    <w:rsid w:val="00C77796"/>
    <w:rsid w:val="00C811E3"/>
    <w:rsid w:val="00C811E5"/>
    <w:rsid w:val="00C82253"/>
    <w:rsid w:val="00C82D03"/>
    <w:rsid w:val="00C83F15"/>
    <w:rsid w:val="00C90EC0"/>
    <w:rsid w:val="00C91228"/>
    <w:rsid w:val="00C940DC"/>
    <w:rsid w:val="00C9749D"/>
    <w:rsid w:val="00CA38A2"/>
    <w:rsid w:val="00CA457D"/>
    <w:rsid w:val="00CA62F1"/>
    <w:rsid w:val="00CA6912"/>
    <w:rsid w:val="00CA750E"/>
    <w:rsid w:val="00CB00E8"/>
    <w:rsid w:val="00CB1467"/>
    <w:rsid w:val="00CB304F"/>
    <w:rsid w:val="00CB7A01"/>
    <w:rsid w:val="00CC0CAE"/>
    <w:rsid w:val="00CC3CE8"/>
    <w:rsid w:val="00CC5648"/>
    <w:rsid w:val="00CC5C5B"/>
    <w:rsid w:val="00CD0278"/>
    <w:rsid w:val="00CD453A"/>
    <w:rsid w:val="00CD4608"/>
    <w:rsid w:val="00CD60AE"/>
    <w:rsid w:val="00CD7FB5"/>
    <w:rsid w:val="00CE2733"/>
    <w:rsid w:val="00CE39A8"/>
    <w:rsid w:val="00CE608C"/>
    <w:rsid w:val="00CF02CA"/>
    <w:rsid w:val="00CF11C3"/>
    <w:rsid w:val="00CF43D3"/>
    <w:rsid w:val="00CF62B4"/>
    <w:rsid w:val="00D00DB7"/>
    <w:rsid w:val="00D00F9D"/>
    <w:rsid w:val="00D07228"/>
    <w:rsid w:val="00D07E96"/>
    <w:rsid w:val="00D13E21"/>
    <w:rsid w:val="00D1609E"/>
    <w:rsid w:val="00D16C82"/>
    <w:rsid w:val="00D17619"/>
    <w:rsid w:val="00D23000"/>
    <w:rsid w:val="00D23CE5"/>
    <w:rsid w:val="00D24B0F"/>
    <w:rsid w:val="00D306F6"/>
    <w:rsid w:val="00D32547"/>
    <w:rsid w:val="00D3278D"/>
    <w:rsid w:val="00D32C5C"/>
    <w:rsid w:val="00D3401E"/>
    <w:rsid w:val="00D3625D"/>
    <w:rsid w:val="00D3627E"/>
    <w:rsid w:val="00D36D86"/>
    <w:rsid w:val="00D37E65"/>
    <w:rsid w:val="00D37EFF"/>
    <w:rsid w:val="00D41611"/>
    <w:rsid w:val="00D41829"/>
    <w:rsid w:val="00D42062"/>
    <w:rsid w:val="00D444E9"/>
    <w:rsid w:val="00D44B00"/>
    <w:rsid w:val="00D45494"/>
    <w:rsid w:val="00D478DC"/>
    <w:rsid w:val="00D50868"/>
    <w:rsid w:val="00D515AE"/>
    <w:rsid w:val="00D542B0"/>
    <w:rsid w:val="00D55084"/>
    <w:rsid w:val="00D6378D"/>
    <w:rsid w:val="00D6566F"/>
    <w:rsid w:val="00D65FFE"/>
    <w:rsid w:val="00D67127"/>
    <w:rsid w:val="00D67388"/>
    <w:rsid w:val="00D73B9A"/>
    <w:rsid w:val="00D73F56"/>
    <w:rsid w:val="00D7484F"/>
    <w:rsid w:val="00D74AB5"/>
    <w:rsid w:val="00D7502F"/>
    <w:rsid w:val="00D7639C"/>
    <w:rsid w:val="00D7693F"/>
    <w:rsid w:val="00D772A8"/>
    <w:rsid w:val="00D83A05"/>
    <w:rsid w:val="00D84A36"/>
    <w:rsid w:val="00D84BC8"/>
    <w:rsid w:val="00D91893"/>
    <w:rsid w:val="00D92E38"/>
    <w:rsid w:val="00D93D76"/>
    <w:rsid w:val="00D93FA1"/>
    <w:rsid w:val="00D947E7"/>
    <w:rsid w:val="00D96C10"/>
    <w:rsid w:val="00DA174E"/>
    <w:rsid w:val="00DA2153"/>
    <w:rsid w:val="00DA3E2C"/>
    <w:rsid w:val="00DA565C"/>
    <w:rsid w:val="00DA68C2"/>
    <w:rsid w:val="00DA7FEA"/>
    <w:rsid w:val="00DB1C8D"/>
    <w:rsid w:val="00DB5A36"/>
    <w:rsid w:val="00DB6962"/>
    <w:rsid w:val="00DC05EE"/>
    <w:rsid w:val="00DC21E1"/>
    <w:rsid w:val="00DC51CB"/>
    <w:rsid w:val="00DC63C3"/>
    <w:rsid w:val="00DD4154"/>
    <w:rsid w:val="00DD41F9"/>
    <w:rsid w:val="00DD466B"/>
    <w:rsid w:val="00DE10DA"/>
    <w:rsid w:val="00DE189B"/>
    <w:rsid w:val="00DE18C5"/>
    <w:rsid w:val="00DF0E9F"/>
    <w:rsid w:val="00DF12A2"/>
    <w:rsid w:val="00DF2711"/>
    <w:rsid w:val="00DF2C4F"/>
    <w:rsid w:val="00DF5285"/>
    <w:rsid w:val="00DF702B"/>
    <w:rsid w:val="00E06B1F"/>
    <w:rsid w:val="00E06ED8"/>
    <w:rsid w:val="00E07A9A"/>
    <w:rsid w:val="00E07F7E"/>
    <w:rsid w:val="00E1181D"/>
    <w:rsid w:val="00E12317"/>
    <w:rsid w:val="00E138F2"/>
    <w:rsid w:val="00E1571B"/>
    <w:rsid w:val="00E15DF5"/>
    <w:rsid w:val="00E23986"/>
    <w:rsid w:val="00E23C97"/>
    <w:rsid w:val="00E27DBD"/>
    <w:rsid w:val="00E317E7"/>
    <w:rsid w:val="00E31A69"/>
    <w:rsid w:val="00E43387"/>
    <w:rsid w:val="00E43E22"/>
    <w:rsid w:val="00E46019"/>
    <w:rsid w:val="00E464FC"/>
    <w:rsid w:val="00E47E3D"/>
    <w:rsid w:val="00E507A7"/>
    <w:rsid w:val="00E51A58"/>
    <w:rsid w:val="00E52258"/>
    <w:rsid w:val="00E5482D"/>
    <w:rsid w:val="00E55EFA"/>
    <w:rsid w:val="00E56819"/>
    <w:rsid w:val="00E62B9A"/>
    <w:rsid w:val="00E6469F"/>
    <w:rsid w:val="00E652DB"/>
    <w:rsid w:val="00E7114F"/>
    <w:rsid w:val="00E7148C"/>
    <w:rsid w:val="00E71EE8"/>
    <w:rsid w:val="00E727F1"/>
    <w:rsid w:val="00E72891"/>
    <w:rsid w:val="00E75BFB"/>
    <w:rsid w:val="00E76FCD"/>
    <w:rsid w:val="00E7700B"/>
    <w:rsid w:val="00E91C54"/>
    <w:rsid w:val="00E9294A"/>
    <w:rsid w:val="00EA05ED"/>
    <w:rsid w:val="00EA3EAF"/>
    <w:rsid w:val="00EA69C5"/>
    <w:rsid w:val="00EB002F"/>
    <w:rsid w:val="00EB2792"/>
    <w:rsid w:val="00EB4ADA"/>
    <w:rsid w:val="00EB5E33"/>
    <w:rsid w:val="00EB72A0"/>
    <w:rsid w:val="00EC7772"/>
    <w:rsid w:val="00EC7BF6"/>
    <w:rsid w:val="00ED0F94"/>
    <w:rsid w:val="00ED5F19"/>
    <w:rsid w:val="00ED5F46"/>
    <w:rsid w:val="00ED623E"/>
    <w:rsid w:val="00ED749F"/>
    <w:rsid w:val="00EE0653"/>
    <w:rsid w:val="00EE0FAB"/>
    <w:rsid w:val="00EE1FE8"/>
    <w:rsid w:val="00EE260A"/>
    <w:rsid w:val="00EF0A1F"/>
    <w:rsid w:val="00EF0C13"/>
    <w:rsid w:val="00EF3EE2"/>
    <w:rsid w:val="00EF573B"/>
    <w:rsid w:val="00EF6539"/>
    <w:rsid w:val="00F00B77"/>
    <w:rsid w:val="00F0207D"/>
    <w:rsid w:val="00F044F3"/>
    <w:rsid w:val="00F04512"/>
    <w:rsid w:val="00F04996"/>
    <w:rsid w:val="00F06BD4"/>
    <w:rsid w:val="00F07A99"/>
    <w:rsid w:val="00F10DDA"/>
    <w:rsid w:val="00F1696B"/>
    <w:rsid w:val="00F21040"/>
    <w:rsid w:val="00F2354A"/>
    <w:rsid w:val="00F23C58"/>
    <w:rsid w:val="00F23E33"/>
    <w:rsid w:val="00F333B5"/>
    <w:rsid w:val="00F336A9"/>
    <w:rsid w:val="00F3610F"/>
    <w:rsid w:val="00F40639"/>
    <w:rsid w:val="00F40CA4"/>
    <w:rsid w:val="00F40FA1"/>
    <w:rsid w:val="00F41248"/>
    <w:rsid w:val="00F413EA"/>
    <w:rsid w:val="00F558EC"/>
    <w:rsid w:val="00F55ADA"/>
    <w:rsid w:val="00F55EF8"/>
    <w:rsid w:val="00F56726"/>
    <w:rsid w:val="00F63500"/>
    <w:rsid w:val="00F71701"/>
    <w:rsid w:val="00F73170"/>
    <w:rsid w:val="00F748DF"/>
    <w:rsid w:val="00F7639B"/>
    <w:rsid w:val="00F80075"/>
    <w:rsid w:val="00F814CE"/>
    <w:rsid w:val="00F8171A"/>
    <w:rsid w:val="00F81962"/>
    <w:rsid w:val="00F82D7F"/>
    <w:rsid w:val="00F830ED"/>
    <w:rsid w:val="00F836C9"/>
    <w:rsid w:val="00F85CC9"/>
    <w:rsid w:val="00F86CAA"/>
    <w:rsid w:val="00F91110"/>
    <w:rsid w:val="00F914C2"/>
    <w:rsid w:val="00F92855"/>
    <w:rsid w:val="00F929E0"/>
    <w:rsid w:val="00F96B28"/>
    <w:rsid w:val="00FA09C0"/>
    <w:rsid w:val="00FA1714"/>
    <w:rsid w:val="00FA1880"/>
    <w:rsid w:val="00FA242A"/>
    <w:rsid w:val="00FA2E29"/>
    <w:rsid w:val="00FA3F2B"/>
    <w:rsid w:val="00FA5742"/>
    <w:rsid w:val="00FA5FB9"/>
    <w:rsid w:val="00FB009B"/>
    <w:rsid w:val="00FB023C"/>
    <w:rsid w:val="00FB09A5"/>
    <w:rsid w:val="00FB20CF"/>
    <w:rsid w:val="00FB230C"/>
    <w:rsid w:val="00FB293B"/>
    <w:rsid w:val="00FB3A7B"/>
    <w:rsid w:val="00FB6167"/>
    <w:rsid w:val="00FB61AE"/>
    <w:rsid w:val="00FB6348"/>
    <w:rsid w:val="00FC3A43"/>
    <w:rsid w:val="00FC3E4F"/>
    <w:rsid w:val="00FC3EED"/>
    <w:rsid w:val="00FC5BE2"/>
    <w:rsid w:val="00FC60AF"/>
    <w:rsid w:val="00FC69CE"/>
    <w:rsid w:val="00FD1130"/>
    <w:rsid w:val="00FD1F9C"/>
    <w:rsid w:val="00FD3AB6"/>
    <w:rsid w:val="00FD3CC8"/>
    <w:rsid w:val="00FE23AC"/>
    <w:rsid w:val="00FE339A"/>
    <w:rsid w:val="00FE6C73"/>
    <w:rsid w:val="00FF1DFC"/>
    <w:rsid w:val="00FF443B"/>
    <w:rsid w:val="00FF4AFE"/>
    <w:rsid w:val="00FF5EC8"/>
    <w:rsid w:val="00FF6DE6"/>
    <w:rsid w:val="00FF77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0DD0FB"/>
  <w15:chartTrackingRefBased/>
  <w15:docId w15:val="{518D0453-9369-9B41-AC23-7BC557FCC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82253"/>
    <w:rPr>
      <w:rFonts w:eastAsia="Times New Roman"/>
    </w:rPr>
  </w:style>
  <w:style w:type="paragraph" w:styleId="Heading1">
    <w:name w:val="heading 1"/>
    <w:next w:val="Normal"/>
    <w:link w:val="Heading1Char"/>
    <w:uiPriority w:val="9"/>
    <w:qFormat/>
    <w:rsid w:val="001E07F1"/>
    <w:pPr>
      <w:keepNext/>
      <w:keepLines/>
      <w:spacing w:line="259" w:lineRule="auto"/>
      <w:ind w:left="190" w:hanging="10"/>
      <w:outlineLvl w:val="0"/>
    </w:pPr>
    <w:rPr>
      <w:rFonts w:eastAsia="Times New Roman"/>
      <w:b/>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82253"/>
    <w:rPr>
      <w:i/>
      <w:iCs/>
    </w:rPr>
  </w:style>
  <w:style w:type="character" w:styleId="CommentReference">
    <w:name w:val="annotation reference"/>
    <w:basedOn w:val="DefaultParagraphFont"/>
    <w:uiPriority w:val="99"/>
    <w:semiHidden/>
    <w:unhideWhenUsed/>
    <w:rsid w:val="00C82253"/>
    <w:rPr>
      <w:sz w:val="16"/>
      <w:szCs w:val="16"/>
    </w:rPr>
  </w:style>
  <w:style w:type="paragraph" w:styleId="CommentText">
    <w:name w:val="annotation text"/>
    <w:basedOn w:val="Normal"/>
    <w:link w:val="CommentTextChar"/>
    <w:uiPriority w:val="99"/>
    <w:unhideWhenUsed/>
    <w:rsid w:val="00C82253"/>
    <w:pPr>
      <w:spacing w:after="16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C82253"/>
    <w:rPr>
      <w:rFonts w:asciiTheme="minorHAnsi" w:eastAsiaTheme="minorHAnsi" w:hAnsiTheme="minorHAnsi" w:cstheme="minorBidi"/>
      <w:sz w:val="20"/>
      <w:szCs w:val="20"/>
      <w:lang w:eastAsia="en-US"/>
    </w:rPr>
  </w:style>
  <w:style w:type="paragraph" w:styleId="CommentSubject">
    <w:name w:val="annotation subject"/>
    <w:basedOn w:val="CommentText"/>
    <w:next w:val="CommentText"/>
    <w:link w:val="CommentSubjectChar"/>
    <w:uiPriority w:val="99"/>
    <w:semiHidden/>
    <w:unhideWhenUsed/>
    <w:rsid w:val="00C82253"/>
    <w:rPr>
      <w:b/>
      <w:bCs/>
    </w:rPr>
  </w:style>
  <w:style w:type="character" w:customStyle="1" w:styleId="CommentSubjectChar">
    <w:name w:val="Comment Subject Char"/>
    <w:basedOn w:val="CommentTextChar"/>
    <w:link w:val="CommentSubject"/>
    <w:uiPriority w:val="99"/>
    <w:semiHidden/>
    <w:rsid w:val="00C82253"/>
    <w:rPr>
      <w:rFonts w:asciiTheme="minorHAnsi" w:eastAsiaTheme="minorHAnsi" w:hAnsiTheme="minorHAnsi" w:cstheme="minorBidi"/>
      <w:b/>
      <w:bCs/>
      <w:sz w:val="20"/>
      <w:szCs w:val="20"/>
      <w:lang w:eastAsia="en-US"/>
    </w:rPr>
  </w:style>
  <w:style w:type="paragraph" w:styleId="BalloonText">
    <w:name w:val="Balloon Text"/>
    <w:basedOn w:val="Normal"/>
    <w:link w:val="BalloonTextChar"/>
    <w:uiPriority w:val="99"/>
    <w:semiHidden/>
    <w:unhideWhenUsed/>
    <w:rsid w:val="00C82253"/>
    <w:rPr>
      <w:rFonts w:ascii="Segoe UI" w:eastAsiaTheme="minorHAnsi" w:hAnsi="Segoe UI" w:cs="Segoe UI"/>
      <w:sz w:val="18"/>
      <w:szCs w:val="18"/>
      <w:lang w:eastAsia="en-US"/>
    </w:rPr>
  </w:style>
  <w:style w:type="character" w:customStyle="1" w:styleId="BalloonTextChar">
    <w:name w:val="Balloon Text Char"/>
    <w:basedOn w:val="DefaultParagraphFont"/>
    <w:link w:val="BalloonText"/>
    <w:uiPriority w:val="99"/>
    <w:semiHidden/>
    <w:rsid w:val="00C82253"/>
    <w:rPr>
      <w:rFonts w:ascii="Segoe UI" w:eastAsiaTheme="minorHAnsi" w:hAnsi="Segoe UI" w:cs="Segoe UI"/>
      <w:sz w:val="18"/>
      <w:szCs w:val="18"/>
      <w:lang w:eastAsia="en-US"/>
    </w:rPr>
  </w:style>
  <w:style w:type="paragraph" w:styleId="ListParagraph">
    <w:name w:val="List Paragraph"/>
    <w:basedOn w:val="Normal"/>
    <w:uiPriority w:val="34"/>
    <w:qFormat/>
    <w:rsid w:val="00C82253"/>
    <w:pPr>
      <w:spacing w:after="160" w:line="259" w:lineRule="auto"/>
      <w:ind w:left="720"/>
      <w:contextualSpacing/>
    </w:pPr>
    <w:rPr>
      <w:rFonts w:asciiTheme="minorHAnsi" w:eastAsiaTheme="minorHAnsi" w:hAnsiTheme="minorHAnsi" w:cstheme="minorBidi"/>
      <w:sz w:val="22"/>
      <w:szCs w:val="22"/>
      <w:lang w:eastAsia="en-US"/>
    </w:rPr>
  </w:style>
  <w:style w:type="character" w:styleId="Hyperlink">
    <w:name w:val="Hyperlink"/>
    <w:basedOn w:val="DefaultParagraphFont"/>
    <w:uiPriority w:val="99"/>
    <w:unhideWhenUsed/>
    <w:rsid w:val="00C82253"/>
    <w:rPr>
      <w:color w:val="0000FF"/>
      <w:u w:val="single"/>
    </w:rPr>
  </w:style>
  <w:style w:type="paragraph" w:styleId="Header">
    <w:name w:val="header"/>
    <w:basedOn w:val="Normal"/>
    <w:link w:val="HeaderChar"/>
    <w:uiPriority w:val="99"/>
    <w:unhideWhenUsed/>
    <w:rsid w:val="00C82253"/>
    <w:pPr>
      <w:tabs>
        <w:tab w:val="center" w:pos="4680"/>
        <w:tab w:val="right" w:pos="9360"/>
      </w:tabs>
    </w:pPr>
  </w:style>
  <w:style w:type="character" w:customStyle="1" w:styleId="HeaderChar">
    <w:name w:val="Header Char"/>
    <w:basedOn w:val="DefaultParagraphFont"/>
    <w:link w:val="Header"/>
    <w:uiPriority w:val="99"/>
    <w:rsid w:val="00C82253"/>
    <w:rPr>
      <w:rFonts w:eastAsia="Times New Roman"/>
    </w:rPr>
  </w:style>
  <w:style w:type="paragraph" w:styleId="Footer">
    <w:name w:val="footer"/>
    <w:basedOn w:val="Normal"/>
    <w:link w:val="FooterChar"/>
    <w:uiPriority w:val="99"/>
    <w:unhideWhenUsed/>
    <w:rsid w:val="00C82253"/>
    <w:pPr>
      <w:tabs>
        <w:tab w:val="center" w:pos="4680"/>
        <w:tab w:val="right" w:pos="9360"/>
      </w:tabs>
    </w:pPr>
  </w:style>
  <w:style w:type="character" w:customStyle="1" w:styleId="FooterChar">
    <w:name w:val="Footer Char"/>
    <w:basedOn w:val="DefaultParagraphFont"/>
    <w:link w:val="Footer"/>
    <w:uiPriority w:val="99"/>
    <w:rsid w:val="00C82253"/>
    <w:rPr>
      <w:rFonts w:eastAsia="Times New Roman"/>
    </w:rPr>
  </w:style>
  <w:style w:type="character" w:styleId="PageNumber">
    <w:name w:val="page number"/>
    <w:basedOn w:val="DefaultParagraphFont"/>
    <w:uiPriority w:val="99"/>
    <w:semiHidden/>
    <w:unhideWhenUsed/>
    <w:rsid w:val="00C82253"/>
  </w:style>
  <w:style w:type="paragraph" w:customStyle="1" w:styleId="EndNoteBibliography">
    <w:name w:val="EndNote Bibliography"/>
    <w:basedOn w:val="Normal"/>
    <w:rsid w:val="00C82253"/>
    <w:rPr>
      <w:rFonts w:eastAsiaTheme="minorHAnsi"/>
      <w:lang w:eastAsia="en-US"/>
    </w:rPr>
  </w:style>
  <w:style w:type="character" w:styleId="LineNumber">
    <w:name w:val="line number"/>
    <w:basedOn w:val="DefaultParagraphFont"/>
    <w:uiPriority w:val="99"/>
    <w:semiHidden/>
    <w:unhideWhenUsed/>
    <w:rsid w:val="00C82253"/>
  </w:style>
  <w:style w:type="paragraph" w:styleId="NormalWeb">
    <w:name w:val="Normal (Web)"/>
    <w:basedOn w:val="Normal"/>
    <w:uiPriority w:val="99"/>
    <w:unhideWhenUsed/>
    <w:rsid w:val="00C82253"/>
    <w:pPr>
      <w:spacing w:before="100" w:beforeAutospacing="1" w:after="100" w:afterAutospacing="1"/>
    </w:pPr>
    <w:rPr>
      <w:rFonts w:asciiTheme="minorHAnsi" w:eastAsiaTheme="minorHAnsi" w:hAnsiTheme="minorHAnsi" w:cs="Times New Roman (Body CS)"/>
      <w:color w:val="211E1E"/>
      <w:szCs w:val="22"/>
      <w:lang w:eastAsia="en-US"/>
    </w:rPr>
  </w:style>
  <w:style w:type="paragraph" w:customStyle="1" w:styleId="contributor">
    <w:name w:val="contributor"/>
    <w:basedOn w:val="Normal"/>
    <w:rsid w:val="00C82253"/>
    <w:pPr>
      <w:spacing w:before="100" w:beforeAutospacing="1" w:after="100" w:afterAutospacing="1"/>
    </w:pPr>
  </w:style>
  <w:style w:type="character" w:customStyle="1" w:styleId="name">
    <w:name w:val="name"/>
    <w:basedOn w:val="DefaultParagraphFont"/>
    <w:rsid w:val="00C82253"/>
  </w:style>
  <w:style w:type="character" w:styleId="UnresolvedMention">
    <w:name w:val="Unresolved Mention"/>
    <w:basedOn w:val="DefaultParagraphFont"/>
    <w:uiPriority w:val="99"/>
    <w:unhideWhenUsed/>
    <w:rsid w:val="00C82253"/>
    <w:rPr>
      <w:color w:val="605E5C"/>
      <w:shd w:val="clear" w:color="auto" w:fill="E1DFDD"/>
    </w:rPr>
  </w:style>
  <w:style w:type="paragraph" w:customStyle="1" w:styleId="EndNoteBibliographyTitle">
    <w:name w:val="EndNote Bibliography Title"/>
    <w:basedOn w:val="Normal"/>
    <w:link w:val="EndNoteBibliographyTitleChar"/>
    <w:rsid w:val="00C82253"/>
    <w:pPr>
      <w:jc w:val="center"/>
    </w:pPr>
  </w:style>
  <w:style w:type="character" w:customStyle="1" w:styleId="EndNoteBibliographyTitleChar">
    <w:name w:val="EndNote Bibliography Title Char"/>
    <w:basedOn w:val="DefaultParagraphFont"/>
    <w:link w:val="EndNoteBibliographyTitle"/>
    <w:rsid w:val="00C82253"/>
    <w:rPr>
      <w:rFonts w:eastAsia="Times New Roman"/>
    </w:rPr>
  </w:style>
  <w:style w:type="paragraph" w:styleId="Revision">
    <w:name w:val="Revision"/>
    <w:hidden/>
    <w:uiPriority w:val="99"/>
    <w:semiHidden/>
    <w:rsid w:val="00C82253"/>
    <w:rPr>
      <w:rFonts w:eastAsia="Times New Roman"/>
    </w:rPr>
  </w:style>
  <w:style w:type="character" w:styleId="FollowedHyperlink">
    <w:name w:val="FollowedHyperlink"/>
    <w:basedOn w:val="DefaultParagraphFont"/>
    <w:uiPriority w:val="99"/>
    <w:semiHidden/>
    <w:unhideWhenUsed/>
    <w:rsid w:val="00C82253"/>
    <w:rPr>
      <w:color w:val="954F72" w:themeColor="followedHyperlink"/>
      <w:u w:val="single"/>
    </w:rPr>
  </w:style>
  <w:style w:type="paragraph" w:customStyle="1" w:styleId="CM1">
    <w:name w:val="CM1"/>
    <w:basedOn w:val="Normal"/>
    <w:next w:val="Normal"/>
    <w:rsid w:val="00C82253"/>
    <w:pPr>
      <w:widowControl w:val="0"/>
      <w:autoSpaceDE w:val="0"/>
      <w:autoSpaceDN w:val="0"/>
      <w:adjustRightInd w:val="0"/>
    </w:pPr>
    <w:rPr>
      <w:rFonts w:ascii="Calibri" w:hAnsi="Calibri"/>
      <w:lang w:val="en-CA" w:eastAsia="en-CA"/>
    </w:rPr>
  </w:style>
  <w:style w:type="paragraph" w:styleId="Caption">
    <w:name w:val="caption"/>
    <w:basedOn w:val="Normal"/>
    <w:next w:val="Normal"/>
    <w:uiPriority w:val="35"/>
    <w:unhideWhenUsed/>
    <w:qFormat/>
    <w:rsid w:val="00C82253"/>
    <w:pPr>
      <w:spacing w:after="200"/>
    </w:pPr>
    <w:rPr>
      <w:i/>
      <w:iCs/>
      <w:color w:val="44546A" w:themeColor="text2"/>
      <w:sz w:val="18"/>
      <w:szCs w:val="18"/>
    </w:rPr>
  </w:style>
  <w:style w:type="character" w:customStyle="1" w:styleId="Heading1Char">
    <w:name w:val="Heading 1 Char"/>
    <w:basedOn w:val="DefaultParagraphFont"/>
    <w:link w:val="Heading1"/>
    <w:uiPriority w:val="9"/>
    <w:rsid w:val="001E07F1"/>
    <w:rPr>
      <w:rFonts w:eastAsia="Times New Roman"/>
      <w:b/>
      <w:color w:val="000000"/>
      <w:u w:val="single" w:color="000000"/>
    </w:rPr>
  </w:style>
  <w:style w:type="character" w:styleId="Strong">
    <w:name w:val="Strong"/>
    <w:basedOn w:val="DefaultParagraphFont"/>
    <w:uiPriority w:val="22"/>
    <w:qFormat/>
    <w:rsid w:val="00D1609E"/>
    <w:rPr>
      <w:b/>
      <w:bCs/>
    </w:rPr>
  </w:style>
  <w:style w:type="paragraph" w:customStyle="1" w:styleId="dx-doi">
    <w:name w:val="dx-doi"/>
    <w:basedOn w:val="Normal"/>
    <w:rsid w:val="00AA72A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6043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Word_Document.docx"/><Relationship Id="rId13" Type="http://schemas.openxmlformats.org/officeDocument/2006/relationships/image" Target="media/image4.emf"/><Relationship Id="rId18" Type="http://schemas.openxmlformats.org/officeDocument/2006/relationships/hyperlink" Target="https://doi.org/10.31219/osf.io/r592m" TargetMode="External"/><Relationship Id="rId3" Type="http://schemas.openxmlformats.org/officeDocument/2006/relationships/settings" Target="settings.xml"/><Relationship Id="rId21" Type="http://schemas.openxmlformats.org/officeDocument/2006/relationships/hyperlink" Target="https://doi.org/10.1177/0022466913489733" TargetMode="External"/><Relationship Id="rId7" Type="http://schemas.openxmlformats.org/officeDocument/2006/relationships/image" Target="media/image1.emf"/><Relationship Id="rId12" Type="http://schemas.openxmlformats.org/officeDocument/2006/relationships/package" Target="embeddings/Microsoft_Word_Document2.docx"/><Relationship Id="rId17" Type="http://schemas.openxmlformats.org/officeDocument/2006/relationships/hyperlink" Target="https://doi.org/10.1007/s42822-022-00116-z"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oi.org/10.3389/fpsyg.2022.1050897" TargetMode="External"/><Relationship Id="rId20" Type="http://schemas.openxmlformats.org/officeDocument/2006/relationships/hyperlink" Target="https://doi.org/10.31234/osf.io/xk4y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doi.org/10.1016/j.ssmph.2021.100798" TargetMode="External"/><Relationship Id="rId23" Type="http://schemas.openxmlformats.org/officeDocument/2006/relationships/header" Target="header2.xml"/><Relationship Id="rId10" Type="http://schemas.openxmlformats.org/officeDocument/2006/relationships/package" Target="embeddings/Microsoft_Word_Document1.docx"/><Relationship Id="rId19" Type="http://schemas.openxmlformats.org/officeDocument/2006/relationships/hyperlink" Target="https://doi.org/10.1044/2018_JSLHR-H-ASTM-18-0378" TargetMode="Externa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Word_Document3.docx"/><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47</Pages>
  <Words>16255</Words>
  <Characters>92655</Characters>
  <Application>Microsoft Office Word</Application>
  <DocSecurity>0</DocSecurity>
  <Lines>772</Lines>
  <Paragraphs>217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Girolamo, Teresa</dc:creator>
  <cp:keywords/>
  <dc:description/>
  <cp:lastModifiedBy>Girolamo, Teresa</cp:lastModifiedBy>
  <cp:revision>7</cp:revision>
  <dcterms:created xsi:type="dcterms:W3CDTF">2023-03-05T00:54:00Z</dcterms:created>
  <dcterms:modified xsi:type="dcterms:W3CDTF">2023-03-05T01:04:00Z</dcterms:modified>
</cp:coreProperties>
</file>